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ind w:firstLine="709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Администрация сельского поселения </w:t>
      </w:r>
      <w:r>
        <w:rPr>
          <w:rFonts w:cs="Times New Roman" w:ascii="Times New Roman" w:hAnsi="Times New Roman"/>
          <w:sz w:val="28"/>
          <w:szCs w:val="28"/>
        </w:rPr>
        <w:t>Верхнее</w:t>
      </w:r>
      <w:r>
        <w:rPr>
          <w:rFonts w:cs="Times New Roman" w:ascii="Times New Roman" w:hAnsi="Times New Roman"/>
          <w:sz w:val="28"/>
          <w:szCs w:val="28"/>
        </w:rPr>
        <w:t xml:space="preserve"> Санчелеево муниципального района Ставропольский Самарской области, в соответствии с Федеральным законом от 06.10.2003 года № 131-ФЗ «Об общих принципах организации местного самоуправления в Российской Федерации», Федеральным законом от 07.12.2011 года № 416-ФЗ «О водоснабжении и водоотведении», постановлением Правительства Российской Федерации от 05.09.2013 года № 782 «О схемах водоснабжения и водоотведения» уведомляет о проведении ежегодной актуализации «Схемы водоснабжения и водоотведения сельского поселения </w:t>
      </w:r>
      <w:bookmarkStart w:id="0" w:name="__DdeLink__45_2852684615"/>
      <w:r>
        <w:rPr>
          <w:rFonts w:cs="Times New Roman" w:ascii="Times New Roman" w:hAnsi="Times New Roman"/>
          <w:sz w:val="28"/>
          <w:szCs w:val="28"/>
        </w:rPr>
        <w:t>Верхнее</w:t>
      </w:r>
      <w:bookmarkEnd w:id="0"/>
      <w:r>
        <w:rPr>
          <w:rFonts w:cs="Times New Roman" w:ascii="Times New Roman" w:hAnsi="Times New Roman"/>
          <w:sz w:val="28"/>
          <w:szCs w:val="28"/>
        </w:rPr>
        <w:t xml:space="preserve"> Санчелеево муниципального района Ставропольский Самарской области  на период до 2033 года».</w:t>
      </w:r>
    </w:p>
    <w:p>
      <w:pPr>
        <w:pStyle w:val="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соответствии с п. 8 «Правил разработки и утверждения схем водоснабжения и водоотведения» (утв. постановлением Правительства Российской Федерации от 05.09.2013 года № 782), актуализация (корректировка) схем водоснабжения и водоотведения осуществляется при наличии одного из следующих условий:</w:t>
      </w:r>
    </w:p>
    <w:p>
      <w:pPr>
        <w:pStyle w:val="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а) ввод в эксплуатацию построенных, реконструированных и модернизированных объектов централизованных систем водоснабжения и (или) водоотведения;</w:t>
      </w:r>
    </w:p>
    <w:p>
      <w:pPr>
        <w:pStyle w:val="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б) изменение условий водоснабжения (гидрогеологических характеристик потенциальных источников водоснабжения), связанных с изменением природных условий и климата;</w:t>
      </w:r>
    </w:p>
    <w:p>
      <w:pPr>
        <w:pStyle w:val="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в) проведение технического обследования централизованных систем водоснабжения и (или) водоотведения в период действия схем водоснабжения и водоотведения;</w:t>
      </w:r>
    </w:p>
    <w:p>
      <w:pPr>
        <w:pStyle w:val="Normal"/>
        <w:ind w:firstLine="709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г) реализация мероприятий, предусмотренных планами снижения сбросов загрязняющих веществ, программами повышения экологической эффективности, планами мероприятий по охране окружающей среды, указанными в </w:t>
      </w:r>
      <w:hyperlink r:id="rId2">
        <w:r>
          <w:rPr>
            <w:rStyle w:val="Style14"/>
            <w:rFonts w:cs="Times New Roman" w:ascii="Times New Roman" w:hAnsi="Times New Roman"/>
            <w:sz w:val="28"/>
            <w:szCs w:val="28"/>
          </w:rPr>
          <w:t>подпункте "д" пункта 7</w:t>
        </w:r>
      </w:hyperlink>
      <w:r>
        <w:rPr>
          <w:rFonts w:cs="Times New Roman" w:ascii="Times New Roman" w:hAnsi="Times New Roman"/>
          <w:sz w:val="28"/>
          <w:szCs w:val="28"/>
        </w:rPr>
        <w:t> Правил разработки и утверждения схем водоснабжения и водоотведения;</w:t>
      </w:r>
    </w:p>
    <w:p>
      <w:pPr>
        <w:pStyle w:val="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д) реализация мероприятий, предусмотренных планами по приведению качества питьевой воды и горячей воды в соответствие с установленными требованиями;</w:t>
      </w:r>
    </w:p>
    <w:p>
      <w:pPr>
        <w:pStyle w:val="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е) изменение объема поставки горячей воды, холодной воды, водоотведения по централизованным системам горячего водоснабжения, холодного водоснабжения и (или) водоотведения в связи с реализацией мероприятий по прекращению функционирования открытых систем теплоснабжения (горячего водоснабжения) (прекращение горячего водоснабжения с использованием открытых систем теплоснабжения (горячего водоснабжения) и перевод абонентов, подключенных (технологически присоединенных) к таким системам, на закрытые системы теплоснабжения (горячего водоснабжения);</w:t>
      </w:r>
    </w:p>
    <w:p>
      <w:pPr>
        <w:pStyle w:val="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ж) необходимость внесения в схему водоснабжения и водоотведения сведений об отнесении централизованной системы водоотведения (канализации) к централизованным системам водоотведения поселений или городских округов либо исключения таких сведений из схемы водоснабжения и водоотведения.</w:t>
      </w:r>
    </w:p>
    <w:p>
      <w:pPr>
        <w:pStyle w:val="Normal"/>
        <w:spacing w:before="0" w:after="200"/>
        <w:ind w:firstLine="709"/>
        <w:jc w:val="both"/>
        <w:rPr/>
      </w:pPr>
      <w:r>
        <w:rPr>
          <w:rFonts w:cs="Times New Roman" w:ascii="Times New Roman" w:hAnsi="Times New Roman"/>
          <w:sz w:val="28"/>
          <w:szCs w:val="28"/>
          <w:u w:val="single"/>
        </w:rPr>
        <w:t> </w:t>
      </w:r>
      <w:r>
        <w:rPr>
          <w:rFonts w:cs="Times New Roman" w:ascii="Times New Roman" w:hAnsi="Times New Roman"/>
          <w:sz w:val="28"/>
          <w:szCs w:val="28"/>
          <w:u w:val="single"/>
        </w:rPr>
        <w:t xml:space="preserve">Сбор замечаний и предложений от организаций, осуществляющих водоснабжение и водоотведение и иных лиц по актуализации Схемы водоснабжения в границах сельского поселения </w:t>
      </w:r>
      <w:r>
        <w:rPr>
          <w:rFonts w:cs="Times New Roman" w:ascii="Times New Roman" w:hAnsi="Times New Roman"/>
          <w:sz w:val="28"/>
          <w:szCs w:val="28"/>
          <w:u w:val="single"/>
        </w:rPr>
        <w:t>Верхнее</w:t>
      </w:r>
      <w:r>
        <w:rPr>
          <w:rFonts w:cs="Times New Roman" w:ascii="Times New Roman" w:hAnsi="Times New Roman"/>
          <w:sz w:val="28"/>
          <w:szCs w:val="28"/>
          <w:u w:val="single"/>
        </w:rPr>
        <w:t xml:space="preserve"> Санчелеево муниципального района Ставропольский Самарской области, осуществляется до 30 апреля 2026</w:t>
      </w:r>
      <w:bookmarkStart w:id="1" w:name="_GoBack"/>
      <w:bookmarkEnd w:id="1"/>
      <w:r>
        <w:rPr>
          <w:rFonts w:cs="Times New Roman" w:ascii="Times New Roman" w:hAnsi="Times New Roman"/>
          <w:sz w:val="28"/>
          <w:szCs w:val="28"/>
          <w:u w:val="single"/>
        </w:rPr>
        <w:t xml:space="preserve"> года в письменном виде по адресу: 44</w:t>
      </w:r>
      <w:r>
        <w:rPr>
          <w:rFonts w:cs="Times New Roman" w:ascii="Times New Roman" w:hAnsi="Times New Roman"/>
          <w:sz w:val="28"/>
          <w:szCs w:val="28"/>
          <w:u w:val="single"/>
        </w:rPr>
        <w:t>5</w:t>
      </w:r>
      <w:r>
        <w:rPr>
          <w:rFonts w:cs="Times New Roman" w:ascii="Times New Roman" w:hAnsi="Times New Roman"/>
          <w:sz w:val="28"/>
          <w:szCs w:val="28"/>
          <w:u w:val="single"/>
        </w:rPr>
        <w:t>13</w:t>
      </w:r>
      <w:r>
        <w:rPr>
          <w:rFonts w:cs="Times New Roman" w:ascii="Times New Roman" w:hAnsi="Times New Roman"/>
          <w:sz w:val="28"/>
          <w:szCs w:val="28"/>
          <w:u w:val="single"/>
        </w:rPr>
        <w:t>8</w:t>
      </w:r>
      <w:r>
        <w:rPr>
          <w:rFonts w:cs="Times New Roman" w:ascii="Times New Roman" w:hAnsi="Times New Roman"/>
          <w:sz w:val="28"/>
          <w:szCs w:val="28"/>
          <w:u w:val="single"/>
        </w:rPr>
        <w:t xml:space="preserve">, Самарская область, Ставропольский район, село </w:t>
      </w:r>
      <w:r>
        <w:rPr>
          <w:rFonts w:cs="Times New Roman" w:ascii="Times New Roman" w:hAnsi="Times New Roman"/>
          <w:sz w:val="28"/>
          <w:szCs w:val="28"/>
          <w:u w:val="single"/>
        </w:rPr>
        <w:t>Верхнее</w:t>
      </w:r>
      <w:r>
        <w:rPr>
          <w:rFonts w:cs="Times New Roman" w:ascii="Times New Roman" w:hAnsi="Times New Roman"/>
          <w:sz w:val="28"/>
          <w:szCs w:val="28"/>
          <w:u w:val="single"/>
        </w:rPr>
        <w:t xml:space="preserve"> Санчелеево, ул. К</w:t>
      </w:r>
      <w:r>
        <w:rPr>
          <w:rFonts w:cs="Times New Roman" w:ascii="Times New Roman" w:hAnsi="Times New Roman"/>
          <w:sz w:val="28"/>
          <w:szCs w:val="28"/>
          <w:u w:val="single"/>
        </w:rPr>
        <w:t>ооперативная</w:t>
      </w:r>
      <w:r>
        <w:rPr>
          <w:rFonts w:cs="Times New Roman" w:ascii="Times New Roman" w:hAnsi="Times New Roman"/>
          <w:sz w:val="28"/>
          <w:szCs w:val="28"/>
          <w:u w:val="single"/>
        </w:rPr>
        <w:t>, д. 4; тел. 8(8482)</w:t>
      </w:r>
      <w:r>
        <w:rPr>
          <w:rFonts w:cs="Times New Roman" w:ascii="Times New Roman" w:hAnsi="Times New Roman"/>
          <w:sz w:val="28"/>
          <w:szCs w:val="28"/>
          <w:u w:val="single"/>
        </w:rPr>
        <w:t>233-542</w:t>
      </w:r>
      <w:r>
        <w:rPr>
          <w:rFonts w:cs="Times New Roman" w:ascii="Times New Roman" w:hAnsi="Times New Roman"/>
          <w:sz w:val="28"/>
          <w:szCs w:val="28"/>
          <w:u w:val="single"/>
        </w:rPr>
        <w:t>, адрес электронной почты: </w:t>
      </w:r>
      <w:hyperlink r:id="rId3">
        <w:r>
          <w:rPr>
            <w:rStyle w:val="Style14"/>
            <w:rFonts w:cs="Times New Roman" w:ascii="Times New Roman" w:hAnsi="Times New Roman"/>
            <w:sz w:val="28"/>
            <w:szCs w:val="28"/>
            <w:lang w:val="en-US"/>
          </w:rPr>
          <w:t>adm_</w:t>
        </w:r>
        <w:r>
          <w:rPr>
            <w:rStyle w:val="Style14"/>
            <w:rFonts w:cs="Times New Roman" w:ascii="Times New Roman" w:hAnsi="Times New Roman"/>
            <w:sz w:val="28"/>
            <w:szCs w:val="28"/>
            <w:lang w:val="en-US"/>
          </w:rPr>
          <w:t>sokolki@mail.</w:t>
        </w:r>
        <w:r>
          <w:rPr>
            <w:rStyle w:val="Style14"/>
            <w:rFonts w:cs="Times New Roman" w:ascii="Times New Roman" w:hAnsi="Times New Roman"/>
            <w:sz w:val="28"/>
            <w:szCs w:val="28"/>
            <w:lang w:val="en-US"/>
          </w:rPr>
          <w:t>ru</w:t>
        </w:r>
      </w:hyperlink>
      <w:r>
        <w:rPr>
          <w:rFonts w:cs="Times New Roman" w:ascii="Times New Roman" w:hAnsi="Times New Roman"/>
          <w:sz w:val="28"/>
          <w:szCs w:val="28"/>
          <w:u w:val="single"/>
          <w:lang w:val="en-US"/>
        </w:rPr>
        <w:t xml:space="preserve"> </w:t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basedOn w:val="DefaultParagraphFont"/>
    <w:uiPriority w:val="99"/>
    <w:unhideWhenUsed/>
    <w:rsid w:val="009a16a2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9a16a2"/>
    <w:rPr>
      <w:b/>
      <w:bCs/>
    </w:rPr>
  </w:style>
  <w:style w:type="character" w:styleId="ListLabel1">
    <w:name w:val="ListLabel 1"/>
    <w:qFormat/>
    <w:rPr>
      <w:rFonts w:ascii="Times New Roman" w:hAnsi="Times New Roman" w:cs="Times New Roman"/>
      <w:sz w:val="28"/>
      <w:szCs w:val="28"/>
    </w:rPr>
  </w:style>
  <w:style w:type="character" w:styleId="ListLabel2">
    <w:name w:val="ListLabel 2"/>
    <w:qFormat/>
    <w:rPr>
      <w:rFonts w:ascii="Times New Roman" w:hAnsi="Times New Roman" w:cs="Times New Roman"/>
      <w:sz w:val="28"/>
      <w:szCs w:val="28"/>
      <w:lang w:val="en-US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semiHidden/>
    <w:unhideWhenUsed/>
    <w:qFormat/>
    <w:rsid w:val="009a16a2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consultantplus://offline/ref=306DBF5163393C4A91E758EE09ED6852CFE82DCC27344ED5ADFE85758FC49C8D78F6586D504A29C7EDEB17740EB0E0C240404A310C309090T676H" TargetMode="External"/><Relationship Id="rId3" Type="http://schemas.openxmlformats.org/officeDocument/2006/relationships/hyperlink" Target="mailto:admsancel@bk.ru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Application>LibreOffice/6.1.4.2$Windows_X86_64 LibreOffice_project/9d0f32d1f0b509096fd65e0d4bec26ddd1938fd3</Application>
  <Pages>2</Pages>
  <Words>358</Words>
  <Characters>2801</Characters>
  <CharactersWithSpaces>3152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2024-12-27T10:56:00Z</dcterms:created>
  <dc:creator>dellin</dc:creator>
  <dc:description/>
  <dc:language>ru-RU</dc:language>
  <cp:lastModifiedBy/>
  <dcterms:modified xsi:type="dcterms:W3CDTF">2026-05-15T13:33:06Z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