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ind w:left="5400" w:right="0" w:hanging="5684"/>
        <w:jc w:val="center"/>
        <w:rPr>
          <w:rFonts w:ascii="Times New Roman" w:hAnsi="Times New Roman" w:cs="Times New Roman"/>
          <w:lang w:val="ru-RU" w:eastAsia="ru-RU"/>
        </w:rPr>
      </w:pPr>
      <w:r>
        <w:rPr>
          <w:rFonts w:cs="Times New Roman" w:ascii="Times New Roman" w:hAnsi="Times New Roman"/>
          <w:lang w:val="ru-RU" w:eastAsia="ru-RU"/>
        </w:rPr>
        <w:drawing>
          <wp:inline distT="0" distB="0" distL="0" distR="0">
            <wp:extent cx="1177290" cy="1012825"/>
            <wp:effectExtent l="0" t="0" r="0" b="0"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339" t="-275" r="-339" b="-27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290" cy="1012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8"/>
          <w:szCs w:val="28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w:rPr>
          <w:rFonts w:cs="Times New Roman" w:ascii="Times New Roman" w:hAnsi="Times New Roman"/>
          <w:b/>
          <w:bCs/>
          <w:sz w:val="28"/>
          <w:szCs w:val="28"/>
        </w:rPr>
        <w:t>СОБРАНИЕ ПРЕДСТАВИТЕЛЕЙ СЕЛЬСКОГО ПОСЕЛЕНИЯ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bCs/>
          <w:sz w:val="28"/>
          <w:szCs w:val="28"/>
        </w:rPr>
        <w:t>ВЕРХНЕЕ САНЧЕЛЕЕВО МУНИЦИПАЛЬНОГО РАЙОНА СТАВРОПОЛЬСКИЙ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w:rPr>
          <w:rFonts w:cs="Times New Roman" w:ascii="Times New Roman" w:hAnsi="Times New Roman"/>
          <w:b/>
          <w:bCs/>
          <w:sz w:val="28"/>
          <w:szCs w:val="28"/>
        </w:rPr>
        <w:t>САМАРСКОЙ ОБЛАСТИ</w:t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w:rPr>
          <w:rFonts w:cs="Times New Roman" w:ascii="Times New Roman" w:hAnsi="Times New Roman"/>
          <w:b/>
          <w:bCs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bCs/>
          <w:sz w:val="28"/>
          <w:szCs w:val="28"/>
        </w:rPr>
        <w:t xml:space="preserve">РЕШЕНИЕ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w:rPr>
          <w:rFonts w:cs="Times New Roman" w:ascii="Times New Roman" w:hAnsi="Times New Roman"/>
          <w:b/>
          <w:bCs/>
          <w:sz w:val="28"/>
          <w:szCs w:val="28"/>
        </w:rPr>
        <w:t>от  30 ноября 2023 года                                                                         №119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w:rPr/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w:rPr/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bCs/>
          <w:sz w:val="28"/>
          <w:szCs w:val="28"/>
        </w:rPr>
        <w:t>О ВНЕСЕНИИ ИЗМЕНЕНИЙ В РЕШЕНИЕ СОБРАНИЯ ПРЕДСТАВИТЕЛЕЙ СЕЛЬСКОГО ПОСЕЛЕНИЯ ВЕРХНЕЕ САНЧЕЛЕЕВО МУНИЦИПАЛЬНОГО РАЙОНА СТАВРОПОЛЬСКИЙ САМАРСКОЙ ОБЛАСТИ ОТ 17.03.2016 № 32 «О ЗЕМЕЛЬНОМ НАЛОГЕ НА ТЕРРИТОРИИ ПОСЕЛЕНИЯ ВЕРХНЕЕ САНЧЕЛЕЕВО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8"/>
          <w:szCs w:val="28"/>
        </w:rPr>
      </w:pPr>
      <w:bookmarkStart w:id="0" w:name="__DdeLink__1639_4243113981"/>
      <w:r>
        <w:rPr>
          <w:rFonts w:cs="Times New Roman" w:ascii="Times New Roman" w:hAnsi="Times New Roman"/>
          <w:b/>
          <w:bCs/>
          <w:sz w:val="28"/>
          <w:szCs w:val="28"/>
        </w:rPr>
        <w:t>МУНИЦИПАЛЬНОГО РАЙОНА СТАВРОПОЛЬСКИЙ»</w:t>
      </w:r>
      <w:bookmarkEnd w:id="0"/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76" w:before="0"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76" w:before="0" w:after="0"/>
        <w:ind w:firstLine="709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В соответствии с </w:t>
      </w:r>
      <w:hyperlink r:id="rId3">
        <w:r>
          <w:rPr>
            <w:rStyle w:val="ListLabel1"/>
            <w:rFonts w:cs="Times New Roman" w:ascii="Times New Roman" w:hAnsi="Times New Roman"/>
            <w:sz w:val="28"/>
            <w:szCs w:val="28"/>
          </w:rPr>
          <w:t>главой 31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Налогового кодекса Российской Федерации, руководствуясь Уставом сельского поселения Верхнее Санчелеево муниципального района Ставропольский Самарской области, Собрание представителей сельского поселения Верхнее Санчелеево муниципального района Ставропольский Самарской области решило:</w:t>
      </w:r>
    </w:p>
    <w:p>
      <w:pPr>
        <w:pStyle w:val="Normal"/>
        <w:spacing w:lineRule="auto" w:line="276" w:before="0"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ListParagraph"/>
        <w:numPr>
          <w:ilvl w:val="0"/>
          <w:numId w:val="2"/>
        </w:numPr>
        <w:spacing w:lineRule="auto" w:line="276" w:before="0" w:after="0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Внести в Решение Собрания представителей сельского поселения Верхнее Санчелеево муниципального района Ставропольский Самарской области следующие изменения:</w:t>
      </w:r>
    </w:p>
    <w:p>
      <w:pPr>
        <w:pStyle w:val="ListParagraph"/>
        <w:numPr>
          <w:ilvl w:val="1"/>
          <w:numId w:val="2"/>
        </w:numPr>
        <w:spacing w:lineRule="auto" w:line="276" w:before="0" w:after="0"/>
        <w:ind w:left="0" w:firstLine="709"/>
        <w:contextualSpacing/>
        <w:jc w:val="both"/>
        <w:rPr/>
      </w:pPr>
      <w:r>
        <w:rPr>
          <w:rFonts w:cs="Times New Roman" w:ascii="Times New Roman" w:hAnsi="Times New Roman"/>
          <w:sz w:val="28"/>
          <w:szCs w:val="28"/>
        </w:rPr>
        <w:t>В пункте 1 после слов «на территории» и «находящиеся в пределах границ»   слова «поселения Верхнее Санчелеево» заменить словами «сельского поселения Верхнее Санчелеево»;</w:t>
      </w:r>
    </w:p>
    <w:p>
      <w:pPr>
        <w:pStyle w:val="ListParagraph"/>
        <w:numPr>
          <w:ilvl w:val="1"/>
          <w:numId w:val="2"/>
        </w:numPr>
        <w:spacing w:lineRule="auto" w:line="276" w:before="0"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Пункт 4 изложить в следующей редакции: </w:t>
      </w:r>
    </w:p>
    <w:p>
      <w:pPr>
        <w:pStyle w:val="ConsPlusNormal1"/>
        <w:spacing w:lineRule="auto" w:line="276"/>
        <w:ind w:firstLine="709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«4. Установить, что налоговая база определяется как кадастровая стоимость земельных участков, признаваемых объектом налогообложения в соответствии со </w:t>
      </w:r>
      <w:hyperlink r:id="rId4">
        <w:r>
          <w:rPr>
            <w:rStyle w:val="ListLabel2"/>
            <w:rFonts w:cs="Times New Roman" w:ascii="Times New Roman" w:hAnsi="Times New Roman"/>
            <w:color w:val="000000" w:themeColor="text1"/>
            <w:sz w:val="28"/>
            <w:szCs w:val="28"/>
          </w:rPr>
          <w:t>статьей 389</w:t>
        </w:r>
      </w:hyperlink>
      <w:r>
        <w:rPr>
          <w:rFonts w:cs="Times New Roman"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Fonts w:cs="Times New Roman" w:ascii="Times New Roman" w:hAnsi="Times New Roman"/>
          <w:sz w:val="28"/>
          <w:szCs w:val="28"/>
        </w:rPr>
        <w:t>Налогового кодекса Российской Федерации.</w:t>
      </w:r>
    </w:p>
    <w:p>
      <w:pPr>
        <w:pStyle w:val="ConsPlusNormal1"/>
        <w:spacing w:lineRule="auto" w:line="276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 </w:t>
      </w:r>
      <w:r>
        <w:rPr>
          <w:rFonts w:cs="Times New Roman" w:ascii="Times New Roman" w:hAnsi="Times New Roman"/>
          <w:sz w:val="28"/>
          <w:szCs w:val="28"/>
        </w:rPr>
        <w:t>Если иное не установлено настоящим пунктом, налоговая база определяется в отношении каждого земельного участка как его кадастровая стоимость, внесенная в Единый государственный реестр недвижимости и подлежащая применению с 1 января года, являющегося налоговым периодом, с учетом особенностей, предусмотренных настоящей статьей.</w:t>
      </w:r>
    </w:p>
    <w:p>
      <w:pPr>
        <w:pStyle w:val="Normal"/>
        <w:spacing w:lineRule="auto" w:line="276" w:before="0"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 отношении земельного участка, образованного в течение налогового периода, налоговая база в данном налоговом периоде определяется как его кадастровая стоимость на день внесения в Единый государственный реестр недвижимости сведений, являющихся основанием для определения кадастровой стоимости такого земельного участка.</w:t>
      </w:r>
    </w:p>
    <w:p>
      <w:pPr>
        <w:pStyle w:val="Normal"/>
        <w:spacing w:lineRule="auto" w:line="276" w:before="0" w:after="0"/>
        <w:ind w:firstLine="709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Налоговая база в отношении земельного участка за налоговый период 2023 года </w:t>
      </w:r>
      <w:hyperlink r:id="rId5">
        <w:r>
          <w:rPr>
            <w:rStyle w:val="ListLabel1"/>
            <w:rFonts w:cs="Times New Roman" w:ascii="Times New Roman" w:hAnsi="Times New Roman"/>
            <w:sz w:val="28"/>
            <w:szCs w:val="28"/>
          </w:rPr>
          <w:t>определяется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как его кадастровая стоимость, внесенная в Единый государственный реестр недвижимости и подлежащая применению с 1 января 2022 года с учетом особенностей, предусмотренных статьей  391 Налогового кодекса Российской Федерации, в случае, если кадастровая стоимость такого земельного участка, внесенная в Единый государственный реестр недвижимости и подлежащая применению с 1 января 2023 года, превышает кадастровую стоимость такого земельного участка, внесенную в Единый государственный реестр недвижимости и подлежащую применению с 1 января 2022 года, за исключением случаев, если кадастровая стоимость соответствующего земельного участка увеличилась вследствие изменения его характеристик.</w:t>
      </w:r>
    </w:p>
    <w:p>
      <w:pPr>
        <w:pStyle w:val="Normal"/>
        <w:spacing w:lineRule="auto" w:line="276" w:before="0"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Изменение кадастровой стоимости земельного участка в течение налогового периода не учитывается при определении налоговой базы в этом и предыдущих налоговых периодах, если иное не предусмотрено законодательством Российской Федерации, регулирующим проведение государственной кадастровой оценки, и настоящим пунктом.</w:t>
      </w:r>
    </w:p>
    <w:p>
      <w:pPr>
        <w:pStyle w:val="Normal"/>
        <w:spacing w:lineRule="auto" w:line="276" w:before="0"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 случае изменения кадастровой стоимости земельного участка вследствие установления его рыночной стоимости сведения об измененной кадастровой стоимости, внесенные в Единый государственный реестр недвижимости, учитываются при определении налоговой базы начиная с даты начала применения для целей налогообложения сведений об изменяемой кадастровой стоимости.</w:t>
      </w:r>
    </w:p>
    <w:p>
      <w:pPr>
        <w:pStyle w:val="Normal"/>
        <w:spacing w:lineRule="auto" w:line="276" w:before="0"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Налоговая база в отношении земельных участков, находящихся в общей долевой собственности, определяется для каждого из налогоплательщиков, являющихся собственниками данного земельного участка, пропорционально его доле в общей долевой собственности.</w:t>
      </w:r>
    </w:p>
    <w:p>
      <w:pPr>
        <w:pStyle w:val="Normal"/>
        <w:spacing w:lineRule="auto" w:line="276" w:before="0"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Налоговая база в отношении земельных участков, находящихся в общей совместной собственности, определяется для каждого из налогоплательщиков, являющихся собственниками данного земельного участка, в равных долях.».</w:t>
      </w:r>
    </w:p>
    <w:p>
      <w:pPr>
        <w:pStyle w:val="ListParagraph"/>
        <w:numPr>
          <w:ilvl w:val="1"/>
          <w:numId w:val="2"/>
        </w:numPr>
        <w:spacing w:lineRule="auto" w:line="276" w:before="0"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Абзац 2 подпункта 1 пункта 5 изложить в следующей редакции:</w:t>
      </w:r>
    </w:p>
    <w:p>
      <w:pPr>
        <w:pStyle w:val="ConsPlusNormal1"/>
        <w:spacing w:lineRule="auto" w:line="276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«- отнесенных к землям сельскохозяйственного назначения или к землям в составе зон сельскохозяйственного использования в населенных пунктах и используемых для сельскохозяйственного производства;».</w:t>
      </w:r>
    </w:p>
    <w:p>
      <w:pPr>
        <w:pStyle w:val="ConsPlusNormal1"/>
        <w:numPr>
          <w:ilvl w:val="1"/>
          <w:numId w:val="2"/>
        </w:numPr>
        <w:spacing w:lineRule="auto" w:line="276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Абзац 2 пункта 7 изложить в следующей редакции:</w:t>
      </w:r>
    </w:p>
    <w:p>
      <w:pPr>
        <w:pStyle w:val="Normal"/>
        <w:spacing w:lineRule="auto" w:line="276" w:before="0"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«Организации – юридические лица исчисляют суммы авансовых платежей по налогу по истечении первого, второго и третьего квартала текущего налогового периода как одну четвертую соответствующей налоговой ставки процентной доли кадастровой стоимости земельного участка.»</w:t>
      </w:r>
    </w:p>
    <w:p>
      <w:pPr>
        <w:pStyle w:val="ConsPlusNormal1"/>
        <w:numPr>
          <w:ilvl w:val="1"/>
          <w:numId w:val="2"/>
        </w:numPr>
        <w:spacing w:lineRule="auto" w:line="27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Пункт 8 изложить в следующей редакции:</w:t>
      </w:r>
    </w:p>
    <w:p>
      <w:pPr>
        <w:pStyle w:val="Normal"/>
        <w:spacing w:lineRule="auto" w:line="276" w:before="0"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«8. Сумма налога, подлежащая уплате в бюджет по итогам налогового периода, определяется налогоплательщиками – организациями как разница между суммой налога, исчисленной как соответствующая налоговой ставке процентная доля налоговой базы, и суммами подлежащих уплате в течение налогового периода авансовых платежей по налогу. </w:t>
      </w:r>
    </w:p>
    <w:p>
      <w:pPr>
        <w:pStyle w:val="ConsPlusNormal1"/>
        <w:spacing w:lineRule="auto" w:line="276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Уплата налога организациями - юридическими лицами за истекший налоговый период осуществляется не позднее 28 февраля года, следующего за истекшим налоговым периодом. Авансовые платежи по налогу подлежат уплате налогоплательщиками - организациями в срок не позднее 28-го числа месяца, следующего за истекшим отчетным периодом.».</w:t>
      </w:r>
    </w:p>
    <w:p>
      <w:pPr>
        <w:pStyle w:val="ConsPlusNormal1"/>
        <w:numPr>
          <w:ilvl w:val="1"/>
          <w:numId w:val="2"/>
        </w:numPr>
        <w:spacing w:lineRule="auto" w:line="27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Пункт 9 изложить в следующей редакции:</w:t>
      </w:r>
    </w:p>
    <w:p>
      <w:pPr>
        <w:pStyle w:val="Normal"/>
        <w:spacing w:lineRule="auto" w:line="276" w:before="0"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«9. 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2 в течение трех лет начиная с даты государственной регистрации прав на данные земельные участки вплоть до государственной регистрации прав на построенный объект недвижимости. В случае государственной регистрации прав на построенный объект недвижимости до истечения трехлетнего срока сумма налога, исчисленного за период применения коэффициента 2, подлежит перерасчету с учетом коэффициента 1.</w:t>
      </w:r>
    </w:p>
    <w:p>
      <w:pPr>
        <w:pStyle w:val="Normal"/>
        <w:spacing w:lineRule="auto" w:line="276" w:before="0"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4 в течение периода, превышающего три года с даты государственной регистрации прав на данные земельные участки, вплоть до даты государственной регистрации прав на построенный объект недвижимости.</w:t>
      </w:r>
    </w:p>
    <w:p>
      <w:pPr>
        <w:pStyle w:val="Normal"/>
        <w:spacing w:lineRule="auto" w:line="276" w:before="0"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 отношении земельных участков, приобретенных (предоставленных) в собственность физическими лицами для индивидуального жилищного строительства, исчисление суммы налога (суммы авансовых платежей по налогу) производится с учетом коэффициента 2 по истечении 10 лет с даты государственной регистрации прав на данные земельные участки вплоть до государственной регистрации прав на построенный объект недвижимости.»</w:t>
      </w:r>
    </w:p>
    <w:p>
      <w:pPr>
        <w:pStyle w:val="ConsPlusNormal1"/>
        <w:numPr>
          <w:ilvl w:val="1"/>
          <w:numId w:val="2"/>
        </w:numPr>
        <w:spacing w:lineRule="auto" w:line="27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Абзац 2 пункта 10 изложить в следующей редакции:</w:t>
      </w:r>
    </w:p>
    <w:p>
      <w:pPr>
        <w:pStyle w:val="Normal"/>
        <w:spacing w:lineRule="auto" w:line="276" w:before="0"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«Налогоплательщики – физические лица уплачивают налог по истечении налогового периода в сроки, установленные абзацем 3 настоящего пункта, на основании налоговых уведомлений, направленных налоговым органом.».</w:t>
      </w:r>
    </w:p>
    <w:p>
      <w:pPr>
        <w:pStyle w:val="ListParagraph"/>
        <w:numPr>
          <w:ilvl w:val="1"/>
          <w:numId w:val="2"/>
        </w:numPr>
        <w:spacing w:lineRule="auto" w:line="276" w:before="0" w:after="0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 пункте 11 после слов «являющиеся объектом налогообложения на территории» слова «поселения Верхнее Санчелеево» заменить словами «сельского поселения Верхнее Санчелеево».</w:t>
      </w:r>
    </w:p>
    <w:p>
      <w:pPr>
        <w:pStyle w:val="ConsPlusNormal1"/>
        <w:numPr>
          <w:ilvl w:val="1"/>
          <w:numId w:val="2"/>
        </w:numPr>
        <w:spacing w:lineRule="auto" w:line="276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 абзаце 3 пункта 12 слова «настоящего Кодекса» заменить словами «Налогового кодекса Российской Федерации».</w:t>
      </w:r>
    </w:p>
    <w:p>
      <w:pPr>
        <w:pStyle w:val="ConsPlusNormal1"/>
        <w:numPr>
          <w:ilvl w:val="1"/>
          <w:numId w:val="2"/>
        </w:numPr>
        <w:spacing w:lineRule="auto" w:line="276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 абзаце 5 пункта 12 слова «настоящим Кодексом» заменить словами «Налоговым кодексом Российской Федерации».</w:t>
      </w:r>
    </w:p>
    <w:p>
      <w:pPr>
        <w:pStyle w:val="ConsPlusNormal1"/>
        <w:numPr>
          <w:ilvl w:val="0"/>
          <w:numId w:val="2"/>
        </w:numPr>
        <w:spacing w:lineRule="auto" w:line="276"/>
        <w:ind w:left="0" w:firstLine="709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Настоящее Решение подлежит официальному опубликованию в газете «Верхнесанчелеевский вестник» и на официальном сайте сельского поселения http://v.sancheleevo.stavrsp.ru/.</w:t>
      </w:r>
    </w:p>
    <w:p>
      <w:pPr>
        <w:pStyle w:val="ConsPlusNormal1"/>
        <w:numPr>
          <w:ilvl w:val="0"/>
          <w:numId w:val="2"/>
        </w:numPr>
        <w:spacing w:lineRule="auto" w:line="276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Настоящее Решение вступает в силу со дня его официального опубликования и распространяет свое действие на правоотношения, возникшие с 01.01.2023.</w:t>
      </w:r>
    </w:p>
    <w:p>
      <w:pPr>
        <w:pStyle w:val="ConsPlusNormal1"/>
        <w:widowControl/>
        <w:spacing w:lineRule="auto" w:line="27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ConsPlusNormal1"/>
        <w:widowControl/>
        <w:spacing w:lineRule="auto" w:line="27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ConsPlusNormal1"/>
        <w:widowControl/>
        <w:spacing w:lineRule="auto" w:line="27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tbl>
      <w:tblPr>
        <w:tblW w:w="10200" w:type="dxa"/>
        <w:jc w:val="left"/>
        <w:tblInd w:w="-426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34"/>
        <w:gridCol w:w="4965"/>
      </w:tblGrid>
      <w:tr>
        <w:trPr/>
        <w:tc>
          <w:tcPr>
            <w:tcW w:w="5234" w:type="dxa"/>
            <w:tcBorders/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>
              <w:rPr>
                <w:rFonts w:eastAsia="MS Mincho" w:cs="Times New Roman" w:ascii="Times New Roman" w:hAnsi="Times New Roman"/>
                <w:sz w:val="28"/>
                <w:szCs w:val="28"/>
                <w:lang w:eastAsia="ru-RU"/>
              </w:rPr>
              <w:t xml:space="preserve">Председатель Собрания представителей    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>
              <w:rPr>
                <w:rFonts w:eastAsia="MS Mincho" w:cs="Times New Roman" w:ascii="Times New Roman" w:hAnsi="Times New Roman"/>
                <w:sz w:val="28"/>
                <w:szCs w:val="28"/>
                <w:lang w:eastAsia="ru-RU"/>
              </w:rPr>
              <w:t>сельского поселения</w:t>
            </w:r>
            <w:bookmarkStart w:id="1" w:name="_GoBack"/>
            <w:bookmarkEnd w:id="1"/>
            <w:r>
              <w:rPr>
                <w:rFonts w:eastAsia="MS Mincho" w:cs="Times New Roman" w:ascii="Times New Roman" w:hAnsi="Times New Roman"/>
                <w:sz w:val="28"/>
                <w:szCs w:val="28"/>
                <w:lang w:eastAsia="ru-RU"/>
              </w:rPr>
              <w:t xml:space="preserve"> Верхнее Санчелеево </w:t>
            </w:r>
          </w:p>
          <w:p>
            <w:pPr>
              <w:pStyle w:val="Normal"/>
              <w:spacing w:before="0" w:after="0"/>
              <w:rPr>
                <w:rFonts w:ascii="Times New Roman" w:hAnsi="Times New Roman" w:eastAsia="MS Mincho" w:cs="Times New Roman"/>
                <w:sz w:val="28"/>
                <w:szCs w:val="28"/>
                <w:lang w:eastAsia="ru-RU"/>
              </w:rPr>
            </w:pPr>
            <w:r>
              <w:rPr>
                <w:rFonts w:eastAsia="MS Mincho" w:cs="Times New Roman" w:ascii="Times New Roman" w:hAnsi="Times New Roman"/>
                <w:sz w:val="28"/>
                <w:szCs w:val="28"/>
                <w:lang w:eastAsia="ru-RU"/>
              </w:rPr>
              <w:t xml:space="preserve">муниципального района Ставропольский Самарской области                                                                                                                 </w:t>
            </w:r>
          </w:p>
          <w:p>
            <w:pPr>
              <w:pStyle w:val="Normal"/>
              <w:spacing w:before="0" w:after="0"/>
              <w:rPr>
                <w:rFonts w:ascii="Times New Roman" w:hAnsi="Times New Roman" w:eastAsia="MS Mincho" w:cs="Times New Roman"/>
                <w:sz w:val="28"/>
                <w:szCs w:val="28"/>
                <w:lang w:eastAsia="ru-RU"/>
              </w:rPr>
            </w:pPr>
            <w:r>
              <w:rPr>
                <w:rFonts w:eastAsia="MS Mincho" w:cs="Times New Roman" w:ascii="Times New Roman" w:hAnsi="Times New Roman"/>
                <w:sz w:val="28"/>
                <w:szCs w:val="28"/>
                <w:lang w:eastAsia="ru-RU"/>
              </w:rPr>
            </w:r>
          </w:p>
          <w:p>
            <w:pPr>
              <w:pStyle w:val="Normal"/>
              <w:spacing w:before="0" w:after="0"/>
              <w:rPr/>
            </w:pPr>
            <w:r>
              <w:rPr>
                <w:rFonts w:eastAsia="Calibri" w:cs="Times New Roman" w:ascii="Times New Roman" w:hAnsi="Times New Roman"/>
                <w:sz w:val="28"/>
                <w:szCs w:val="28"/>
                <w:lang w:eastAsia="ru-RU"/>
              </w:rPr>
              <w:t>____________________ Л.Б.Григорович</w:t>
            </w:r>
          </w:p>
        </w:tc>
        <w:tc>
          <w:tcPr>
            <w:tcW w:w="4965" w:type="dxa"/>
            <w:tcBorders/>
            <w:shd w:fill="auto" w:val="clear"/>
          </w:tcPr>
          <w:p>
            <w:pPr>
              <w:pStyle w:val="Normal"/>
              <w:spacing w:before="0" w:after="0"/>
              <w:ind w:left="318" w:hanging="0"/>
              <w:rPr>
                <w:rFonts w:ascii="Times New Roman" w:hAnsi="Times New Roman" w:eastAsia="Calibri" w:cs="Times New Roman"/>
                <w:sz w:val="28"/>
                <w:szCs w:val="28"/>
                <w:lang w:eastAsia="ru-RU"/>
              </w:rPr>
            </w:pPr>
            <w:r>
              <w:rPr>
                <w:rFonts w:eastAsia="Calibri" w:cs="Times New Roman" w:ascii="Times New Roman" w:hAnsi="Times New Roman"/>
                <w:sz w:val="28"/>
                <w:szCs w:val="28"/>
                <w:lang w:eastAsia="ru-RU"/>
              </w:rPr>
              <w:t xml:space="preserve">Глава сельского поселения Верхнее Санчелеево муниципального района Ставропольский Самарской области </w:t>
            </w:r>
          </w:p>
          <w:p>
            <w:pPr>
              <w:pStyle w:val="Normal"/>
              <w:spacing w:before="0" w:after="0"/>
              <w:ind w:left="318" w:hanging="0"/>
              <w:rPr>
                <w:rFonts w:ascii="Times New Roman" w:hAnsi="Times New Roman" w:eastAsia="Calibri" w:cs="Times New Roman"/>
                <w:sz w:val="28"/>
                <w:szCs w:val="28"/>
                <w:lang w:eastAsia="ru-RU"/>
              </w:rPr>
            </w:pPr>
            <w:r>
              <w:rPr>
                <w:rFonts w:eastAsia="Calibri" w:cs="Times New Roman" w:ascii="Times New Roman" w:hAnsi="Times New Roman"/>
                <w:sz w:val="28"/>
                <w:szCs w:val="28"/>
                <w:lang w:eastAsia="ru-RU"/>
              </w:rPr>
            </w:r>
          </w:p>
          <w:p>
            <w:pPr>
              <w:pStyle w:val="Normal"/>
              <w:spacing w:before="0" w:after="0"/>
              <w:ind w:left="318" w:hanging="318"/>
              <w:jc w:val="center"/>
              <w:rPr>
                <w:rFonts w:ascii="Times New Roman" w:hAnsi="Times New Roman" w:eastAsia="Calibri" w:cs="Times New Roman"/>
                <w:b/>
                <w:b/>
                <w:sz w:val="28"/>
                <w:szCs w:val="28"/>
                <w:lang w:eastAsia="ru-RU"/>
              </w:rPr>
            </w:pPr>
            <w:r>
              <w:rPr>
                <w:rFonts w:eastAsia="Calibri" w:cs="Times New Roman" w:ascii="Times New Roman" w:hAnsi="Times New Roman"/>
                <w:b/>
                <w:sz w:val="28"/>
                <w:szCs w:val="28"/>
                <w:lang w:eastAsia="ru-RU"/>
              </w:rPr>
            </w:r>
          </w:p>
          <w:p>
            <w:pPr>
              <w:pStyle w:val="Normal"/>
              <w:spacing w:before="0" w:after="0"/>
              <w:ind w:left="318" w:hanging="318"/>
              <w:jc w:val="center"/>
              <w:rPr/>
            </w:pPr>
            <w:r>
              <w:rPr>
                <w:rFonts w:eastAsia="Calibri" w:cs="Times New Roman" w:ascii="Times New Roman" w:hAnsi="Times New Roman"/>
                <w:b/>
                <w:sz w:val="28"/>
                <w:szCs w:val="28"/>
                <w:lang w:eastAsia="ru-RU"/>
              </w:rPr>
              <w:t xml:space="preserve">_____________   </w:t>
            </w:r>
            <w:r>
              <w:rPr>
                <w:rFonts w:eastAsia="Calibri" w:cs="Times New Roman" w:ascii="Times New Roman" w:hAnsi="Times New Roman"/>
                <w:b w:val="false"/>
                <w:bCs w:val="false"/>
                <w:sz w:val="28"/>
                <w:szCs w:val="28"/>
                <w:lang w:eastAsia="ru-RU"/>
              </w:rPr>
              <w:t xml:space="preserve"> П.В.Чапарин</w:t>
            </w:r>
          </w:p>
        </w:tc>
      </w:tr>
    </w:tbl>
    <w:p>
      <w:pPr>
        <w:pStyle w:val="ListParagraph"/>
        <w:spacing w:lineRule="auto" w:line="276" w:before="0" w:after="0"/>
        <w:ind w:left="0" w:firstLine="709"/>
        <w:contextualSpacing/>
        <w:jc w:val="both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Segoe U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ind w:left="900" w:hanging="360"/>
      </w:pPr>
    </w:lvl>
    <w:lvl w:ilvl="1">
      <w:start w:val="1"/>
      <w:numFmt w:val="decimal"/>
      <w:lvlText w:val="%1.%2."/>
      <w:lvlJc w:val="left"/>
      <w:pPr>
        <w:ind w:left="1429" w:hanging="720"/>
      </w:pPr>
    </w:lvl>
    <w:lvl w:ilvl="2">
      <w:start w:val="1"/>
      <w:numFmt w:val="decimal"/>
      <w:lvlText w:val="%1.%2.%3."/>
      <w:lvlJc w:val="left"/>
      <w:pPr>
        <w:ind w:left="1598" w:hanging="720"/>
      </w:pPr>
    </w:lvl>
    <w:lvl w:ilvl="3">
      <w:start w:val="1"/>
      <w:numFmt w:val="decimal"/>
      <w:lvlText w:val="%1.%2.%3.%4."/>
      <w:lvlJc w:val="left"/>
      <w:pPr>
        <w:ind w:left="2127" w:hanging="1080"/>
      </w:pPr>
    </w:lvl>
    <w:lvl w:ilvl="4">
      <w:start w:val="1"/>
      <w:numFmt w:val="decimal"/>
      <w:lvlText w:val="%1.%2.%3.%4.%5."/>
      <w:lvlJc w:val="left"/>
      <w:pPr>
        <w:ind w:left="2296" w:hanging="1080"/>
      </w:pPr>
    </w:lvl>
    <w:lvl w:ilvl="5">
      <w:start w:val="1"/>
      <w:numFmt w:val="decimal"/>
      <w:lvlText w:val="%1.%2.%3.%4.%5.%6."/>
      <w:lvlJc w:val="left"/>
      <w:pPr>
        <w:ind w:left="2825" w:hanging="1440"/>
      </w:pPr>
    </w:lvl>
    <w:lvl w:ilvl="6">
      <w:start w:val="1"/>
      <w:numFmt w:val="decimal"/>
      <w:lvlText w:val="%1.%2.%3.%4.%5.%6.%7."/>
      <w:lvlJc w:val="left"/>
      <w:pPr>
        <w:ind w:left="3354" w:hanging="1800"/>
      </w:pPr>
    </w:lvl>
    <w:lvl w:ilvl="7">
      <w:start w:val="1"/>
      <w:numFmt w:val="decimal"/>
      <w:lvlText w:val="%1.%2.%3.%4.%5.%6.%7.%8."/>
      <w:lvlJc w:val="left"/>
      <w:pPr>
        <w:ind w:left="3523" w:hanging="1800"/>
      </w:pPr>
    </w:lvl>
    <w:lvl w:ilvl="8">
      <w:start w:val="1"/>
      <w:numFmt w:val="decimal"/>
      <w:lvlText w:val="%1.%2.%3.%4.%5.%6.%7.%8.%9."/>
      <w:lvlJc w:val="left"/>
      <w:pPr>
        <w:ind w:left="4052" w:hanging="216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f6d41"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paragraph" w:styleId="1">
    <w:name w:val="Heading 1"/>
    <w:basedOn w:val="Normal"/>
    <w:next w:val="Normal"/>
    <w:qFormat/>
    <w:pPr>
      <w:keepNext w:val="true"/>
      <w:numPr>
        <w:ilvl w:val="0"/>
        <w:numId w:val="1"/>
      </w:numPr>
      <w:spacing w:lineRule="auto" w:line="240" w:before="0" w:after="0"/>
      <w:outlineLvl w:val="0"/>
    </w:pPr>
    <w:rPr>
      <w:rFonts w:cs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выноски Знак"/>
    <w:basedOn w:val="DefaultParagraphFont"/>
    <w:link w:val="a4"/>
    <w:uiPriority w:val="99"/>
    <w:semiHidden/>
    <w:qFormat/>
    <w:rsid w:val="006c3fa6"/>
    <w:rPr>
      <w:rFonts w:ascii="Segoe UI" w:hAnsi="Segoe UI" w:cs="Segoe UI"/>
      <w:sz w:val="18"/>
      <w:szCs w:val="18"/>
    </w:rPr>
  </w:style>
  <w:style w:type="character" w:styleId="ConsPlusNormal" w:customStyle="1">
    <w:name w:val="ConsPlusNormal Знак"/>
    <w:link w:val="ConsPlusNormal"/>
    <w:uiPriority w:val="99"/>
    <w:qFormat/>
    <w:locked/>
    <w:rsid w:val="00fb0172"/>
    <w:rPr>
      <w:rFonts w:ascii="Calibri" w:hAnsi="Calibri" w:eastAsia="" w:cs="Calibri" w:eastAsiaTheme="minorEastAsia"/>
      <w:lang w:eastAsia="ru-RU"/>
    </w:rPr>
  </w:style>
  <w:style w:type="character" w:styleId="ListLabel1">
    <w:name w:val="ListLabel 1"/>
    <w:qFormat/>
    <w:rPr>
      <w:rFonts w:ascii="Times New Roman" w:hAnsi="Times New Roman" w:cs="Times New Roman"/>
      <w:sz w:val="28"/>
      <w:szCs w:val="28"/>
    </w:rPr>
  </w:style>
  <w:style w:type="character" w:styleId="Style14">
    <w:name w:val="Интернет-ссылка"/>
    <w:rPr>
      <w:color w:val="000080"/>
      <w:u w:val="single"/>
      <w:lang w:val="zxx" w:eastAsia="zxx" w:bidi="zxx"/>
    </w:rPr>
  </w:style>
  <w:style w:type="character" w:styleId="ListLabel2">
    <w:name w:val="ListLabel 2"/>
    <w:qFormat/>
    <w:rPr>
      <w:rFonts w:ascii="Times New Roman" w:hAnsi="Times New Roman" w:cs="Times New Roman"/>
      <w:color w:val="000000" w:themeColor="text1"/>
      <w:sz w:val="28"/>
      <w:szCs w:val="28"/>
    </w:rPr>
  </w:style>
  <w:style w:type="character" w:styleId="ListLabel3">
    <w:name w:val="ListLabel 3"/>
    <w:qFormat/>
    <w:rPr>
      <w:rFonts w:ascii="Times New Roman" w:hAnsi="Times New Roman" w:cs="Times New Roman"/>
      <w:sz w:val="28"/>
      <w:szCs w:val="28"/>
    </w:rPr>
  </w:style>
  <w:style w:type="character" w:styleId="ListLabel4">
    <w:name w:val="ListLabel 4"/>
    <w:qFormat/>
    <w:rPr>
      <w:rFonts w:ascii="Times New Roman" w:hAnsi="Times New Roman" w:cs="Times New Roman"/>
      <w:color w:val="000000" w:themeColor="text1"/>
      <w:sz w:val="28"/>
      <w:szCs w:val="28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ConsPlusNormal1" w:customStyle="1">
    <w:name w:val="ConsPlusNormal"/>
    <w:link w:val="ConsPlusNormal0"/>
    <w:uiPriority w:val="99"/>
    <w:qFormat/>
    <w:rsid w:val="00fa6d07"/>
    <w:pPr>
      <w:widowControl w:val="false"/>
      <w:bidi w:val="0"/>
      <w:spacing w:lineRule="auto" w:line="240" w:before="0" w:after="0"/>
      <w:jc w:val="left"/>
    </w:pPr>
    <w:rPr>
      <w:rFonts w:ascii="Calibri" w:hAnsi="Calibri" w:eastAsia="" w:cs="Calibri" w:eastAsiaTheme="minorEastAsia"/>
      <w:color w:val="auto"/>
      <w:kern w:val="0"/>
      <w:sz w:val="22"/>
      <w:szCs w:val="22"/>
      <w:lang w:val="ru-RU" w:eastAsia="ru-RU" w:bidi="ar-SA"/>
    </w:rPr>
  </w:style>
  <w:style w:type="paragraph" w:styleId="ListParagraph">
    <w:name w:val="List Paragraph"/>
    <w:basedOn w:val="Normal"/>
    <w:uiPriority w:val="34"/>
    <w:qFormat/>
    <w:rsid w:val="00f5675c"/>
    <w:pPr>
      <w:spacing w:before="0" w:after="160"/>
      <w:ind w:left="720" w:hanging="0"/>
      <w:contextualSpacing/>
    </w:pPr>
    <w:rPr/>
  </w:style>
  <w:style w:type="paragraph" w:styleId="BalloonText">
    <w:name w:val="Balloon Text"/>
    <w:basedOn w:val="Normal"/>
    <w:link w:val="a5"/>
    <w:uiPriority w:val="99"/>
    <w:semiHidden/>
    <w:unhideWhenUsed/>
    <w:qFormat/>
    <w:rsid w:val="006c3fa6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consultantplus://offline/ref=25DCE2A13CF648BCB3BECC597DD71A42EA06CBA90AFA2A6AE4ED4A6CADF18A26142FF1983E71641B58AFA0702978503658870FCD6275j9l8M" TargetMode="External"/><Relationship Id="rId4" Type="http://schemas.openxmlformats.org/officeDocument/2006/relationships/hyperlink" Target="consultantplus://offline/ref=B04F99F505ECA1117449683FDC6CE46D2E043B92BDE661394957A8AC057BF03238B29AF2BAB6AC57EEEA4DFE341BAA3B7730E651692D0F50J" TargetMode="External"/><Relationship Id="rId5" Type="http://schemas.openxmlformats.org/officeDocument/2006/relationships/hyperlink" Target="consultantplus://offline/ref=F5800399CD78CDEAB81C870EA557250458C3B89457BCAFF680B429BD972AE2850B25891C99619ECF8BCA8376E508134E13970C103A0F47B5D9M2M" TargetMode="Externa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481</TotalTime>
  <Application>LibreOffice/6.1.4.2$Windows_X86_64 LibreOffice_project/9d0f32d1f0b509096fd65e0d4bec26ddd1938fd3</Application>
  <Pages>4</Pages>
  <Words>978</Words>
  <Characters>7253</Characters>
  <CharactersWithSpaces>8524</CharactersWithSpaces>
  <Paragraphs>45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2023-11-16T11:13:00Z</dcterms:created>
  <dc:creator>Ruk_Dohod</dc:creator>
  <dc:description/>
  <dc:language>ru-RU</dc:language>
  <cp:lastModifiedBy/>
  <cp:lastPrinted>2023-11-30T10:56:23Z</cp:lastPrinted>
  <dcterms:modified xsi:type="dcterms:W3CDTF">2023-11-30T11:38:38Z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