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60"/>
        <w:ind w:left="5400" w:hanging="5684"/>
        <w:jc w:val="center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     </w:t>
      </w:r>
      <w:r>
        <w:rPr/>
        <w:drawing>
          <wp:inline distT="0" distB="0" distL="0" distR="0">
            <wp:extent cx="921385" cy="10128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ascii="Times New Roman" w:hAnsi="Times New Roman"/>
          <w:sz w:val="26"/>
          <w:szCs w:val="26"/>
        </w:rPr>
        <w:t xml:space="preserve"> 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СОБРАНИЕ ПРЕДСТАВИТЕЛЕЙ СЕЛЬСКОГО ПОСЕЛЕНИЯ </w:t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ВЕРХНЕЕ САНЧЕЛЕЕВО 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4020" w:leader="none"/>
          <w:tab w:val="center" w:pos="4960" w:leader="none"/>
        </w:tabs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РЕШЕНИЕ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от </w:t>
        <w:tab/>
        <w:t>01.07.2022 года                                                                                        № 74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color w:val="000000" w:themeColor="text1"/>
          <w:sz w:val="28"/>
          <w:szCs w:val="28"/>
        </w:rPr>
        <w:t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28.04.2022 № 70 «</w:t>
      </w:r>
      <w:r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>
        <w:rPr>
          <w:b/>
          <w:bCs/>
          <w:color w:val="000000" w:themeColor="text1"/>
          <w:sz w:val="28"/>
          <w:szCs w:val="28"/>
        </w:rPr>
        <w:t xml:space="preserve"> сельского поселения Верхнее Санчелеево муниципального района Ставропольский Самарской области»</w:t>
      </w:r>
    </w:p>
    <w:p>
      <w:pPr>
        <w:pStyle w:val="Normal"/>
        <w:jc w:val="center"/>
        <w:rPr>
          <w:bCs/>
          <w:i/>
          <w:i/>
          <w:color w:val="000000" w:themeColor="text1"/>
        </w:rPr>
      </w:pPr>
      <w:r>
        <w:rPr>
          <w:bCs/>
          <w:i/>
          <w:color w:val="000000" w:themeColor="text1"/>
        </w:rPr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области,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Собрание представителей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РЕШИЛО: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28.04.2022 № 70 «Об утверждении </w:t>
      </w:r>
      <w:r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>
        <w:rPr>
          <w:color w:val="000000" w:themeColor="text1"/>
          <w:sz w:val="28"/>
          <w:szCs w:val="28"/>
        </w:rPr>
        <w:t>» (далее – Решение) следующие изменения:</w:t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 xml:space="preserve">1) пункт 5.2 утвержденного Решением Положения </w:t>
      </w:r>
      <w:r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(далее – Положение)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p>
      <w:pPr>
        <w:pStyle w:val="12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«6.2. Ключевые и индикативные показатели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контроля в сфере благоустройства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указаны в приложении № 2 к настоящему Положению».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дополнить Положение приложением № 2 в соответствии с приложением к настоящему решению.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Настоящее решение вступает в силу с 1 марта 2022 года.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34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14"/>
        <w:gridCol w:w="4734"/>
      </w:tblGrid>
      <w:tr>
        <w:trPr/>
        <w:tc>
          <w:tcPr>
            <w:tcW w:w="4614" w:type="dxa"/>
            <w:tcBorders/>
            <w:shd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Собрания представителей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поселения Верхнее Санчелеево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 Ставропольский Самар</w:t>
            </w:r>
            <w:bookmarkStart w:id="0" w:name="_GoBack"/>
            <w:bookmarkEnd w:id="0"/>
            <w:r>
              <w:rPr>
                <w:sz w:val="26"/>
                <w:szCs w:val="26"/>
              </w:rPr>
              <w:t>ской области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>_________________/Л.Б. Григорович/</w:t>
            </w:r>
          </w:p>
        </w:tc>
        <w:tc>
          <w:tcPr>
            <w:tcW w:w="4734" w:type="dxa"/>
            <w:tcBorders/>
            <w:shd w:fill="auto" w:val="clear"/>
          </w:tcPr>
          <w:p>
            <w:pPr>
              <w:pStyle w:val="Normal"/>
              <w:ind w:left="36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сельского поселения Верхнее Санчелеево муниципального района Ставропольский Самарской области</w:t>
            </w:r>
          </w:p>
          <w:p>
            <w:pPr>
              <w:pStyle w:val="Normal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left="360" w:hanging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left="360" w:hanging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left="360" w:hanging="0"/>
              <w:jc w:val="right"/>
              <w:rPr/>
            </w:pPr>
            <w:r>
              <w:rPr>
                <w:sz w:val="26"/>
                <w:szCs w:val="26"/>
              </w:rPr>
              <w:t>___________________/П.В. Чапарин/</w:t>
            </w:r>
          </w:p>
        </w:tc>
      </w:tr>
    </w:tbl>
    <w:p>
      <w:pPr>
        <w:pStyle w:val="Normal"/>
        <w:spacing w:lineRule="exact" w:line="240"/>
        <w:ind w:left="5398" w:hanging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exact" w:line="240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  <w:r>
        <w:br w:type="page"/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color w:val="000000" w:themeColor="text1"/>
        </w:rPr>
        <w:t>Приложение к</w:t>
      </w:r>
    </w:p>
    <w:p>
      <w:pPr>
        <w:pStyle w:val="Normal"/>
        <w:ind w:left="4536" w:hanging="0"/>
        <w:jc w:val="center"/>
        <w:rPr/>
      </w:pPr>
      <w:r>
        <w:rPr>
          <w:color w:val="000000" w:themeColor="text1"/>
        </w:rPr>
        <w:t xml:space="preserve">решению Собрания представителей </w:t>
      </w:r>
      <w:r>
        <w:rPr>
          <w:bCs/>
          <w:color w:val="000000" w:themeColor="text1"/>
        </w:rPr>
        <w:t>сельского поселения Верхнее Санчелеево муниципального района Ставропольский Самарской области</w:t>
      </w:r>
      <w:r>
        <w:rPr>
          <w:color w:val="000000" w:themeColor="text1"/>
        </w:rPr>
        <w:t xml:space="preserve"> от 01.07.2022 №74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ConsPlusNormal"/>
        <w:ind w:hanging="0"/>
        <w:jc w:val="right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Приложение № 2 к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муниципальном контроле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сфере благоустройства на территории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 xml:space="preserve">сельского поселения Верхнее Санчелеево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i/>
          <w:i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Самарской области</w:t>
      </w:r>
      <w:r>
        <w:rPr>
          <w:rFonts w:cs="Times New Roman" w:ascii="Times New Roman" w:hAnsi="Times New Roman"/>
          <w:i/>
          <w:iCs/>
          <w:color w:val="000000" w:themeColor="text1"/>
          <w:sz w:val="24"/>
          <w:szCs w:val="24"/>
        </w:rPr>
        <w:t>)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i/>
          <w:i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000000" w:themeColor="text1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exact" w:line="2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>
        <w:rPr>
          <w:color w:val="000000"/>
          <w:sz w:val="28"/>
          <w:szCs w:val="28"/>
        </w:rPr>
        <w:t>контроля в сфере благоустройства</w:t>
      </w:r>
    </w:p>
    <w:p>
      <w:pPr>
        <w:pStyle w:val="Normal"/>
        <w:spacing w:lineRule="exact" w:line="2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pacing w:lineRule="exact" w:line="240"/>
        <w:ind w:firstLine="709"/>
        <w:jc w:val="both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tbl>
      <w:tblPr>
        <w:tblW w:w="10897" w:type="dxa"/>
        <w:jc w:val="lef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fill="FFFFFF" w:val="clear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56"/>
        <w:gridCol w:w="1794"/>
        <w:gridCol w:w="1412"/>
        <w:gridCol w:w="3352"/>
        <w:gridCol w:w="1812"/>
        <w:gridCol w:w="1570"/>
      </w:tblGrid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площади прилегающих территорий, в отношении которых 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участков,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 = 100% х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/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 – общая площадь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  <w:p>
            <w:pPr>
              <w:pStyle w:val="Empty"/>
              <w:spacing w:beforeAutospacing="0" w:before="0" w:afterAutospacing="0" w:after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значение показателя (например, 0,1 %) исходя из рассчитанной площади территорий, в отношении которых в соответствии с </w:t>
            </w:r>
            <w:r>
              <w:rPr>
                <w:i/>
                <w:iCs/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i/>
                <w:iCs/>
                <w:color w:val="000000" w:themeColor="text1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 прилегающих территорий. Соответствующая доля должна уменьшаться из года в год. Следовательно, предлагаем полученную величину уменьшить примерно на 10% в сравнении с предыдущим годом)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А.2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А.2 -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кубометров мусора, обнаруженного в течение отчетного года на территориях общего пользования и прилегающих территориях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А.3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КМТОП)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А.3 - определяется как сумма кубометров мусора (КМТОП), обнаруженного в течение отчетного года на территориях общего пользования и прилегающих территориях.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случаев травматизма людей,  выявленных в течение отчетного года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СТЛ)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А.4 - определяется как сумма случаев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в течение отчетного года вследствие: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- не своевременного удаления сосулек;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карантинными и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А.5 - определяется как сумма случаев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карантинных и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 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rStyle w:val="Style14"/>
                <w:rStyle w:val="Style14"/>
                <w:color w:val="000000" w:themeColor="text1"/>
                <w:sz w:val="20"/>
                <w:szCs w:val="20"/>
              </w:rPr>
              <w:footnoteReference w:id="2"/>
            </w:r>
          </w:p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плановых контрольных мероприятий,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КПМ)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 определяется как сумма </w:t>
            </w:r>
            <w:r>
              <w:rPr>
                <w:sz w:val="20"/>
                <w:szCs w:val="20"/>
              </w:rPr>
              <w:t xml:space="preserve">плановых контрольных мероприятий </w:t>
            </w:r>
            <w:r>
              <w:rPr>
                <w:color w:val="000000" w:themeColor="text1"/>
                <w:sz w:val="20"/>
                <w:szCs w:val="20"/>
              </w:rPr>
              <w:t>(КПМ),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>Целевое значение устанавливается равным количеству плановых контрольных мероприятий, предусмотренных планом на соответствующий год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 определяется как сумма вне</w:t>
            </w:r>
            <w:r>
              <w:rPr>
                <w:sz w:val="20"/>
                <w:szCs w:val="20"/>
              </w:rPr>
              <w:t xml:space="preserve">плановых контрольных мероприятий </w:t>
            </w:r>
            <w:r>
              <w:rPr>
                <w:color w:val="000000" w:themeColor="text1"/>
                <w:sz w:val="20"/>
                <w:szCs w:val="20"/>
              </w:rPr>
              <w:t>(КВМ),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устанавливается,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КВМИР)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определяется как сумма </w:t>
            </w:r>
            <w:r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>
              <w:rPr>
                <w:color w:val="000000" w:themeColor="text1"/>
                <w:sz w:val="20"/>
                <w:szCs w:val="20"/>
              </w:rPr>
              <w:t xml:space="preserve"> (КВМИР),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контрольных мероприятий с взаимодействием,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</w:t>
            </w:r>
            <w:r>
              <w:rPr>
                <w:color w:val="000000" w:themeColor="text1"/>
                <w:sz w:val="20"/>
                <w:szCs w:val="20"/>
              </w:rPr>
              <w:t xml:space="preserve"> (КМСВ),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КМСВвид)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 по каждому виду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(КМСВвид),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КМДист)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>
              <w:rPr>
                <w:color w:val="000000" w:themeColor="text1"/>
                <w:sz w:val="20"/>
                <w:szCs w:val="20"/>
              </w:rPr>
              <w:t xml:space="preserve"> (КМДист),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Style14"/>
                <w:rStyle w:val="Style14"/>
                <w:color w:val="000000" w:themeColor="text1"/>
                <w:sz w:val="20"/>
                <w:szCs w:val="20"/>
              </w:rPr>
              <w:footnoteReference w:id="3"/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Количество обязательных профилактических визитов, проведенных за отчетный период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определяется как сумма </w:t>
            </w:r>
            <w:r>
              <w:rPr>
                <w:sz w:val="20"/>
                <w:szCs w:val="20"/>
              </w:rPr>
              <w:t>обязательных профилактических визитов</w:t>
            </w:r>
            <w:r>
              <w:rPr>
                <w:color w:val="000000" w:themeColor="text1"/>
                <w:sz w:val="20"/>
                <w:szCs w:val="20"/>
              </w:rPr>
              <w:t xml:space="preserve"> (КОПВ),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либо не устанавливается, либо устанавливается равным количеству обязательных профилактических визитов, предусмотренных программой профилактики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рисков причинения вреда (ущерба) охраняемым законом ценностям в сфере</w:t>
            </w:r>
            <w:r>
              <w:rPr>
                <w:color w:val="000000" w:themeColor="text1"/>
                <w:sz w:val="20"/>
                <w:szCs w:val="20"/>
              </w:rPr>
              <w:t xml:space="preserve"> соответствующего вида муниципального контроля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КПНН)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определяется как сумма </w:t>
            </w:r>
            <w:r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(КПНН),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КМНОТ)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>
              <w:rPr>
                <w:sz w:val="20"/>
                <w:szCs w:val="20"/>
              </w:rPr>
              <w:t>контрольных мероприятий, по результатам которых выявлены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(КМНОТ),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 определяется как сумма </w:t>
            </w:r>
            <w:r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>
              <w:rPr>
                <w:color w:val="000000" w:themeColor="text1"/>
                <w:sz w:val="20"/>
                <w:szCs w:val="20"/>
              </w:rPr>
              <w:t xml:space="preserve"> (КМАП),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определяется как сумма </w:t>
            </w:r>
            <w:r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(АШ),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(КЗОП),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КЗОПОС)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>
              <w:rPr>
                <w:color w:val="000000" w:themeColor="text1"/>
                <w:sz w:val="20"/>
                <w:szCs w:val="20"/>
              </w:rPr>
              <w:t xml:space="preserve"> (КЗОПОС),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 определяется как сумма </w:t>
            </w:r>
            <w:r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КУОККР)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определяется как сумма </w:t>
            </w:r>
            <w:r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(КУОККР)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по каждой категории риска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контролируемых лиц на конец отчетного периода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определяется как сумма </w:t>
            </w:r>
            <w:r>
              <w:rPr>
                <w:sz w:val="20"/>
                <w:szCs w:val="20"/>
              </w:rPr>
              <w:t>учтенных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(УКЛ)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>учёта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определяется как сумма </w:t>
            </w:r>
            <w:r>
              <w:rPr>
                <w:sz w:val="20"/>
                <w:szCs w:val="20"/>
              </w:rPr>
              <w:t xml:space="preserve">контролируемых лиц, в отношении которых проведены контрольные мероприятия </w:t>
            </w:r>
            <w:r>
              <w:rPr>
                <w:color w:val="000000" w:themeColor="text1"/>
                <w:sz w:val="20"/>
                <w:szCs w:val="20"/>
              </w:rPr>
              <w:t>(УКЛКМ)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жалоб, поданных контролируемыми лицами в досудебном порядке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определяется как сумма </w:t>
            </w:r>
            <w:r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>
              <w:rPr>
                <w:color w:val="000000" w:themeColor="text1"/>
                <w:sz w:val="20"/>
                <w:szCs w:val="20"/>
              </w:rPr>
              <w:t>(КЖДП)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в отношении которых контрольным органом был нарушен срок рассмотрения,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определяется как сумма </w:t>
            </w:r>
            <w:r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>
              <w:rPr>
                <w:color w:val="000000" w:themeColor="text1"/>
                <w:sz w:val="20"/>
                <w:szCs w:val="20"/>
              </w:rPr>
              <w:t>(КЖНС),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определяется как сумма </w:t>
            </w:r>
            <w:r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>
              <w:rPr>
                <w:color w:val="000000" w:themeColor="text1"/>
                <w:sz w:val="20"/>
                <w:szCs w:val="20"/>
              </w:rPr>
              <w:t xml:space="preserve"> (КЖОР),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>
              <w:rPr>
                <w:color w:val="000000" w:themeColor="text1"/>
                <w:sz w:val="20"/>
                <w:szCs w:val="20"/>
              </w:rPr>
              <w:t xml:space="preserve"> (КИЗ),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Б.22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(КУИЗ),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Б.23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>
              <w:rPr>
                <w:color w:val="000000" w:themeColor="text1"/>
                <w:sz w:val="20"/>
                <w:szCs w:val="20"/>
              </w:rPr>
              <w:t xml:space="preserve"> (КМГНТ),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>
              <w:rPr>
                <w:rStyle w:val="Style14"/>
                <w:rStyle w:val="Style14"/>
                <w:color w:val="000000" w:themeColor="text1"/>
                <w:sz w:val="20"/>
                <w:szCs w:val="20"/>
              </w:rPr>
              <w:footnoteReference w:id="4"/>
            </w:r>
          </w:p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определяется как сумма штатных единиц (ШЕ), в должностные обязанности которых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>
              <w:rPr>
                <w:rStyle w:val="Style14"/>
                <w:rStyle w:val="Style14"/>
                <w:color w:val="000000" w:themeColor="text1"/>
                <w:sz w:val="20"/>
                <w:szCs w:val="20"/>
              </w:rPr>
              <w:footnoteReference w:id="5"/>
            </w:r>
          </w:p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затрат времени на </w:t>
            </w:r>
            <w:r>
              <w:rPr>
                <w:color w:val="000000"/>
                <w:sz w:val="20"/>
                <w:szCs w:val="20"/>
              </w:rPr>
              <w:t xml:space="preserve">контроль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штатной единицы, в должностные обязанности которой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определяется как доля посвященного </w:t>
            </w:r>
            <w:r>
              <w:rPr>
                <w:color w:val="000000"/>
                <w:sz w:val="20"/>
                <w:szCs w:val="20"/>
              </w:rPr>
              <w:t xml:space="preserve">контролю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 = ОТ + МТО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Б.25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труда (ОТ), а также суммы затрат на материально-техническое обеспечение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(МТО)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Б.26 определяется как сумма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Б.27 = (А.1 + А.2 + А.3 + А.4 + А.5) / Б.24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Б.28 = (А.1 + А.2 + А.3 + А.4 + А.5) / Б.25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>
      <w:pPr>
        <w:pStyle w:val="Normal"/>
        <w:spacing w:lineRule="exact" w:line="240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rPr/>
      </w:pPr>
      <w:r>
        <w:rPr/>
      </w:r>
    </w:p>
    <w:sectPr>
      <w:headerReference w:type="default" r:id="rId3"/>
      <w:footnotePr>
        <w:numFmt w:val="decimal"/>
      </w:footnotePr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6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3">
    <w:p>
      <w:pPr>
        <w:pStyle w:val="S16"/>
        <w:shd w:val="clear" w:color="auto" w:fill="FFFFFF"/>
        <w:spacing w:beforeAutospacing="0" w:before="0" w:afterAutospacing="0" w:after="0"/>
        <w:jc w:val="both"/>
        <w:rPr/>
      </w:pPr>
      <w:r>
        <w:rPr>
          <w:rStyle w:val="Style18"/>
        </w:rPr>
        <w:footnoteRef/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В соответствии с частью 4 статьи 52 Федерального закона от 31.07.2020 № 248-ФЗ «О государственном контроле (надзоре) и муниципальном контроле в Российской Федерации» </w:t>
      </w:r>
      <w:r>
        <w:rPr>
          <w:color w:val="000000" w:themeColor="text1"/>
          <w:sz w:val="20"/>
          <w:szCs w:val="20"/>
          <w:shd w:fill="FFFFFF" w:val="clear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4">
    <w:p>
      <w:pPr>
        <w:pStyle w:val="Style26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>
        <w:rPr>
          <w:color w:val="000000"/>
        </w:rPr>
        <w:t>контроля в сфере благоустройства</w:t>
      </w:r>
      <w:r>
        <w:rPr/>
        <w:t>.</w:t>
      </w:r>
    </w:p>
  </w:footnote>
  <w:footnote w:id="5">
    <w:p>
      <w:pPr>
        <w:pStyle w:val="Style26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Вариант 2 подходит тем муниципальным образованиям, в которых одно должностное лицо лишь частично вовлечено в осуществление </w:t>
      </w:r>
      <w:r>
        <w:rPr>
          <w:color w:val="000000"/>
        </w:rPr>
        <w:t>контроля в сфере благоустройства</w:t>
      </w:r>
      <w:r>
        <w:rPr/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97514145"/>
    </w:sdtPr>
    <w:sdtContent>
      <w:p>
        <w:pPr>
          <w:pStyle w:val="Style27"/>
          <w:rPr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11</w:t>
        </w:r>
        <w:r>
          <w:rPr>
            <w:rStyle w:val="Pagenumber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7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58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8368e9"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link w:val="a4"/>
    <w:uiPriority w:val="99"/>
    <w:semiHidden/>
    <w:qFormat/>
    <w:rsid w:val="00165f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65f1f"/>
    <w:rPr>
      <w:vertAlign w:val="superscript"/>
    </w:rPr>
  </w:style>
  <w:style w:type="character" w:styleId="Style15" w:customStyle="1">
    <w:name w:val="Верхний колонтитул Знак"/>
    <w:basedOn w:val="DefaultParagraphFont"/>
    <w:link w:val="a7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Style16" w:customStyle="1">
    <w:name w:val="Нижний колонтитул Знак"/>
    <w:basedOn w:val="DefaultParagraphFont"/>
    <w:link w:val="a9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qFormat/>
    <w:rsid w:val="0003374e"/>
    <w:rPr/>
  </w:style>
  <w:style w:type="character" w:styleId="WW8Num1z4" w:customStyle="1">
    <w:name w:val="WW8Num1z4"/>
    <w:qFormat/>
    <w:rsid w:val="00901774"/>
    <w:rPr/>
  </w:style>
  <w:style w:type="character" w:styleId="2" w:customStyle="1">
    <w:name w:val="Основной текст 2 Знак"/>
    <w:basedOn w:val="DefaultParagraphFont"/>
    <w:link w:val="2"/>
    <w:uiPriority w:val="99"/>
    <w:qFormat/>
    <w:rsid w:val="00901774"/>
    <w:rPr>
      <w:rFonts w:ascii="Times New Roman" w:hAnsi="Times New Roman" w:eastAsia="Times New Roman" w:cs="Times New Roman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368e9"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Style17" w:customStyle="1">
    <w:name w:val="Текст выноски Знак"/>
    <w:basedOn w:val="DefaultParagraphFont"/>
    <w:link w:val="ac"/>
    <w:uiPriority w:val="99"/>
    <w:semiHidden/>
    <w:qFormat/>
    <w:rsid w:val="00e4120a"/>
    <w:rPr>
      <w:rFonts w:ascii="Segoe UI" w:hAnsi="Segoe UI" w:eastAsia="Times New Roman" w:cs="Segoe UI"/>
      <w:sz w:val="18"/>
      <w:szCs w:val="18"/>
      <w:lang w:eastAsia="ru-RU"/>
    </w:rPr>
  </w:style>
  <w:style w:type="character" w:styleId="Style18">
    <w:name w:val="Символ сноски"/>
    <w:qFormat/>
    <w:rPr/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Символ концевой сноск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90886"/>
    <w:pPr>
      <w:spacing w:before="0" w:after="0"/>
      <w:ind w:left="720" w:hanging="0"/>
      <w:contextualSpacing/>
    </w:pPr>
    <w:rPr/>
  </w:style>
  <w:style w:type="paragraph" w:styleId="12" w:customStyle="1">
    <w:name w:val="Без интервала1"/>
    <w:qFormat/>
    <w:rsid w:val="0000240a"/>
    <w:pPr>
      <w:widowControl/>
      <w:suppressAutoHyphens w:val="true"/>
      <w:bidi w:val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Normal" w:customStyle="1">
    <w:name w:val="ConsPlusNormal"/>
    <w:uiPriority w:val="99"/>
    <w:qFormat/>
    <w:rsid w:val="00354979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1" w:customStyle="1">
    <w:name w:val="s_1"/>
    <w:basedOn w:val="Normal"/>
    <w:qFormat/>
    <w:rsid w:val="00c762f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c762f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c762f7"/>
    <w:pPr>
      <w:spacing w:beforeAutospacing="1" w:afterAutospacing="1"/>
    </w:pPr>
    <w:rPr/>
  </w:style>
  <w:style w:type="paragraph" w:styleId="Style26">
    <w:name w:val="Footnote Text"/>
    <w:basedOn w:val="Normal"/>
    <w:link w:val="a5"/>
    <w:uiPriority w:val="99"/>
    <w:semiHidden/>
    <w:unhideWhenUsed/>
    <w:rsid w:val="00165f1f"/>
    <w:pPr/>
    <w:rPr>
      <w:sz w:val="20"/>
      <w:szCs w:val="20"/>
    </w:rPr>
  </w:style>
  <w:style w:type="paragraph" w:styleId="Style27">
    <w:name w:val="Header"/>
    <w:basedOn w:val="Normal"/>
    <w:link w:val="a8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a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0"/>
    <w:uiPriority w:val="99"/>
    <w:unhideWhenUsed/>
    <w:qFormat/>
    <w:rsid w:val="00901774"/>
    <w:pPr>
      <w:spacing w:lineRule="auto" w:line="480" w:before="0" w:after="120"/>
    </w:pPr>
    <w:rPr/>
  </w:style>
  <w:style w:type="paragraph" w:styleId="ConsPlusTitle" w:customStyle="1">
    <w:name w:val="ConsPlusTitle"/>
    <w:uiPriority w:val="99"/>
    <w:qFormat/>
    <w:rsid w:val="008368e9"/>
    <w:pPr>
      <w:widowControl w:val="false"/>
      <w:suppressAutoHyphens w:val="true"/>
      <w:bidi w:val="0"/>
      <w:jc w:val="left"/>
    </w:pPr>
    <w:rPr>
      <w:rFonts w:ascii="Calibri" w:hAnsi="Calibri" w:eastAsia="Calibri" w:cs="Calibri" w:asciiTheme="minorHAnsi" w:eastAsiaTheme="minorHAnsi" w:hAnsiTheme="minorHAnsi"/>
      <w:b/>
      <w:bCs/>
      <w:color w:val="auto"/>
      <w:kern w:val="0"/>
      <w:sz w:val="22"/>
      <w:szCs w:val="22"/>
      <w:lang w:val="ru-RU" w:eastAsia="zh-CN" w:bidi="ar-SA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e4120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LibreOffice/6.1.4.2$Windows_X86_64 LibreOffice_project/9d0f32d1f0b509096fd65e0d4bec26ddd1938fd3</Application>
  <Pages>5</Pages>
  <Words>2656</Words>
  <Characters>19454</Characters>
  <CharactersWithSpaces>22167</CharactersWithSpaces>
  <Paragraphs>289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2021-12-21T11:21:00Z</dcterms:created>
  <dc:creator>Дмитрий Славецкий</dc:creator>
  <dc:description/>
  <dc:language>ru-RU</dc:language>
  <cp:lastModifiedBy/>
  <cp:lastPrinted>2022-07-01T13:50:43Z</cp:lastPrinted>
  <dcterms:modified xsi:type="dcterms:W3CDTF">2022-07-01T14:12:18Z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