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ind w:left="5400" w:hanging="5684"/>
        <w:jc w:val="center"/>
        <w:outlineLvl w:val="0"/>
        <w:rPr>
          <w:rFonts w:eastAsia="Times New Roman"/>
          <w:b/>
          <w:b/>
          <w:bCs/>
          <w:sz w:val="25"/>
          <w:szCs w:val="25"/>
          <w:lang w:val="x-none" w:eastAsia="x-none"/>
        </w:rPr>
      </w:pPr>
      <w:r>
        <w:rPr/>
        <w:drawing>
          <wp:inline distT="0" distB="8255" distL="0" distR="635">
            <wp:extent cx="1180465" cy="102044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2"/>
                    <a:stretch>
                      <a:fillRect/>
                    </a:stretch>
                  </pic:blipFill>
                  <pic:spPr bwMode="auto">
                    <a:xfrm>
                      <a:off x="0" y="0"/>
                      <a:ext cx="1180465" cy="1020445"/>
                    </a:xfrm>
                    <a:prstGeom prst="rect">
                      <a:avLst/>
                    </a:prstGeom>
                  </pic:spPr>
                </pic:pic>
              </a:graphicData>
            </a:graphic>
          </wp:inline>
        </w:drawing>
      </w:r>
    </w:p>
    <w:p>
      <w:pPr>
        <w:pStyle w:val="Normal"/>
        <w:keepNext w:val="true"/>
        <w:numPr>
          <w:ilvl w:val="0"/>
          <w:numId w:val="0"/>
        </w:numPr>
        <w:ind w:left="5400" w:hanging="5684"/>
        <w:jc w:val="center"/>
        <w:outlineLvl w:val="0"/>
        <w:rPr>
          <w:rFonts w:eastAsia="Times New Roman"/>
          <w:bCs/>
          <w:sz w:val="18"/>
          <w:szCs w:val="18"/>
          <w:lang w:val="x-none" w:eastAsia="x-none"/>
        </w:rPr>
      </w:pPr>
      <w:r>
        <w:rPr>
          <w:rFonts w:eastAsia="Times New Roman"/>
          <w:bCs/>
          <w:sz w:val="18"/>
          <w:szCs w:val="18"/>
          <w:lang w:val="x-none" w:eastAsia="x-none"/>
        </w:rPr>
        <w:t>Российская Федерация</w:t>
      </w:r>
    </w:p>
    <w:p>
      <w:pPr>
        <w:pStyle w:val="Normal"/>
        <w:keepNext w:val="true"/>
        <w:numPr>
          <w:ilvl w:val="0"/>
          <w:numId w:val="0"/>
        </w:numPr>
        <w:ind w:left="5400" w:hanging="5684"/>
        <w:jc w:val="center"/>
        <w:outlineLvl w:val="0"/>
        <w:rPr>
          <w:rFonts w:eastAsia="Times New Roman"/>
          <w:bCs/>
          <w:sz w:val="18"/>
          <w:szCs w:val="18"/>
          <w:lang w:val="x-none" w:eastAsia="x-none"/>
        </w:rPr>
      </w:pPr>
      <w:r>
        <w:rPr>
          <w:rFonts w:eastAsia="Times New Roman"/>
          <w:bCs/>
          <w:sz w:val="18"/>
          <w:szCs w:val="18"/>
          <w:lang w:val="x-none" w:eastAsia="x-none"/>
        </w:rPr>
        <w:t>Самарская область</w:t>
      </w:r>
    </w:p>
    <w:p>
      <w:pPr>
        <w:pStyle w:val="Normal"/>
        <w:numPr>
          <w:ilvl w:val="0"/>
          <w:numId w:val="0"/>
        </w:numPr>
        <w:spacing w:lineRule="auto" w:line="360"/>
        <w:jc w:val="center"/>
        <w:outlineLvl w:val="0"/>
        <w:rPr>
          <w:rFonts w:eastAsia="Times New Roman"/>
          <w:b/>
          <w:b/>
          <w:bCs/>
          <w:sz w:val="25"/>
          <w:szCs w:val="25"/>
        </w:rPr>
      </w:pPr>
      <w:r>
        <w:rPr>
          <w:rFonts w:eastAsia="Times New Roman"/>
          <w:b/>
          <w:bCs/>
          <w:sz w:val="25"/>
          <w:szCs w:val="25"/>
        </w:rPr>
      </w:r>
    </w:p>
    <w:p>
      <w:pPr>
        <w:pStyle w:val="Normal"/>
        <w:numPr>
          <w:ilvl w:val="0"/>
          <w:numId w:val="0"/>
        </w:numPr>
        <w:jc w:val="center"/>
        <w:outlineLvl w:val="0"/>
        <w:rPr/>
      </w:pPr>
      <w:r>
        <w:rPr>
          <w:rFonts w:eastAsia="Times New Roman"/>
          <w:b/>
          <w:bCs/>
          <w:sz w:val="22"/>
          <w:szCs w:val="22"/>
        </w:rPr>
        <w:t xml:space="preserve">АДМИНИСТРАЦИЯ СЕЛЬСКОГО ПОСЕЛЕНИЯ </w:t>
      </w:r>
      <w:r>
        <w:rPr>
          <w:rFonts w:eastAsia="Times New Roman"/>
          <w:b/>
          <w:bCs/>
          <w:sz w:val="22"/>
          <w:szCs w:val="22"/>
        </w:rPr>
        <w:t>ВЕРХНЕЕ САНЧЕЛЕЕВО</w:t>
      </w:r>
      <w:r>
        <w:rPr>
          <w:rFonts w:eastAsia="Times New Roman"/>
          <w:b/>
          <w:bCs/>
          <w:sz w:val="22"/>
          <w:szCs w:val="22"/>
        </w:rPr>
        <w:t xml:space="preserve"> </w:t>
      </w:r>
    </w:p>
    <w:p>
      <w:pPr>
        <w:pStyle w:val="Normal"/>
        <w:numPr>
          <w:ilvl w:val="0"/>
          <w:numId w:val="0"/>
        </w:numPr>
        <w:jc w:val="center"/>
        <w:outlineLvl w:val="0"/>
        <w:rPr>
          <w:rFonts w:eastAsia="Times New Roman"/>
          <w:b/>
          <w:b/>
          <w:bCs/>
          <w:sz w:val="22"/>
          <w:szCs w:val="22"/>
        </w:rPr>
      </w:pPr>
      <w:r>
        <w:rPr>
          <w:rFonts w:eastAsia="Times New Roman"/>
          <w:b/>
          <w:bCs/>
          <w:sz w:val="22"/>
          <w:szCs w:val="22"/>
        </w:rPr>
        <w:t>МУНИЦИПАЛЬНОГО РАЙОНА СТАВРОПОЛЬСКИЙ</w:t>
      </w:r>
    </w:p>
    <w:p>
      <w:pPr>
        <w:pStyle w:val="Normal"/>
        <w:numPr>
          <w:ilvl w:val="0"/>
          <w:numId w:val="0"/>
        </w:numPr>
        <w:jc w:val="center"/>
        <w:outlineLvl w:val="0"/>
        <w:rPr>
          <w:rFonts w:eastAsia="Times New Roman"/>
          <w:b/>
          <w:b/>
          <w:bCs/>
          <w:sz w:val="22"/>
          <w:szCs w:val="22"/>
        </w:rPr>
      </w:pPr>
      <w:r>
        <w:rPr>
          <w:rFonts w:eastAsia="Times New Roman"/>
          <w:b/>
          <w:bCs/>
          <w:sz w:val="22"/>
          <w:szCs w:val="22"/>
        </w:rPr>
        <w:t>САМАРСКОЙ ОБЛАСТИ</w:t>
      </w:r>
    </w:p>
    <w:p>
      <w:pPr>
        <w:pStyle w:val="Normal"/>
        <w:spacing w:lineRule="auto" w:line="276" w:before="240" w:after="200"/>
        <w:jc w:val="center"/>
        <w:rPr/>
      </w:pPr>
      <w:r>
        <w:rPr>
          <w:rFonts w:eastAsia="Times New Roman"/>
          <w:b/>
          <w:sz w:val="22"/>
          <w:szCs w:val="22"/>
        </w:rPr>
        <w:t>ПРОЕКТ_</w:t>
      </w:r>
      <w:r>
        <w:rPr>
          <w:rFonts w:eastAsia="Times New Roman"/>
          <w:b/>
          <w:sz w:val="22"/>
          <w:szCs w:val="22"/>
        </w:rPr>
        <w:t>ПОСТАНОВЛЕНИЕ</w:t>
      </w:r>
    </w:p>
    <w:p>
      <w:pPr>
        <w:pStyle w:val="Normal"/>
        <w:jc w:val="center"/>
        <w:rPr/>
      </w:pPr>
      <w:r>
        <w:rPr>
          <w:rFonts w:eastAsia="Times New Roman"/>
          <w:sz w:val="22"/>
          <w:szCs w:val="22"/>
        </w:rPr>
        <w:t>от ___________ года</w:t>
        <w:tab/>
        <w:tab/>
        <w:tab/>
        <w:tab/>
        <w:tab/>
        <w:tab/>
        <w:tab/>
        <w:tab/>
        <w:tab/>
        <w:tab/>
        <w:t>№____</w:t>
      </w:r>
    </w:p>
    <w:p>
      <w:pPr>
        <w:pStyle w:val="2"/>
        <w:jc w:val="center"/>
        <w:rPr>
          <w:rFonts w:eastAsia="Times New Roman"/>
          <w:sz w:val="22"/>
          <w:szCs w:val="22"/>
        </w:rPr>
      </w:pPr>
      <w:r>
        <w:rPr>
          <w:rFonts w:eastAsia="Times New Roman"/>
          <w:sz w:val="22"/>
          <w:szCs w:val="22"/>
        </w:rPr>
        <w:t>Об утверждении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Верхнее Санчелеево муниципального района Ставропольский Самарской области и о признании утратившим силу постановления администрации сельского поселения Верхнее Санчелеево муниципального района Ставропольский Самарской области</w:t>
      </w:r>
    </w:p>
    <w:p>
      <w:pPr>
        <w:pStyle w:val="NormalWeb"/>
        <w:spacing w:before="280" w:afterAutospacing="0" w:after="0"/>
        <w:ind w:firstLine="709"/>
        <w:jc w:val="both"/>
        <w:rPr/>
      </w:pPr>
      <w:bookmarkStart w:id="0" w:name="a1"/>
      <w:bookmarkStart w:id="1" w:name="bssPhr1"/>
      <w:bookmarkStart w:id="2" w:name="bss-anchor"/>
      <w:bookmarkEnd w:id="0"/>
      <w:bookmarkEnd w:id="1"/>
      <w:bookmarkEnd w:id="2"/>
      <w:r>
        <w:rPr>
          <w:sz w:val="22"/>
          <w:szCs w:val="22"/>
        </w:rPr>
        <w:t xml:space="preserve">В соответствии с частями </w:t>
      </w:r>
      <w:r>
        <w:fldChar w:fldCharType="begin"/>
      </w:r>
      <w:r>
        <w:rPr>
          <w:rStyle w:val="Style12"/>
          <w:sz w:val="22"/>
          <w:szCs w:val="22"/>
        </w:rPr>
        <w:instrText> HYPERLINK "https://vip.gosfinansy.ru/" \l "/document/99/499011838/ZAP1R4I375/"</w:instrText>
      </w:r>
      <w:r>
        <w:rPr>
          <w:rStyle w:val="Style12"/>
          <w:sz w:val="22"/>
          <w:szCs w:val="22"/>
        </w:rPr>
        <w:fldChar w:fldCharType="separate"/>
      </w:r>
      <w:r>
        <w:rPr>
          <w:rStyle w:val="Style12"/>
          <w:sz w:val="22"/>
          <w:szCs w:val="22"/>
        </w:rPr>
        <w:t>3</w:t>
      </w:r>
      <w:r>
        <w:rPr>
          <w:rStyle w:val="Style12"/>
          <w:sz w:val="22"/>
          <w:szCs w:val="22"/>
        </w:rPr>
        <w:fldChar w:fldCharType="end"/>
      </w:r>
      <w:r>
        <w:rPr>
          <w:sz w:val="22"/>
          <w:szCs w:val="22"/>
        </w:rPr>
        <w:t xml:space="preserve"> и </w:t>
      </w:r>
      <w:r>
        <w:fldChar w:fldCharType="begin"/>
      </w:r>
      <w:r>
        <w:rPr>
          <w:rStyle w:val="Style12"/>
          <w:sz w:val="22"/>
          <w:szCs w:val="22"/>
        </w:rPr>
        <w:instrText> HYPERLINK "https://vip.gosfinansy.ru/" \l "/document/99/499011838/ZAP232K3E9/"</w:instrText>
      </w:r>
      <w:r>
        <w:rPr>
          <w:rStyle w:val="Style12"/>
          <w:sz w:val="22"/>
          <w:szCs w:val="22"/>
        </w:rPr>
        <w:fldChar w:fldCharType="separate"/>
      </w:r>
      <w:r>
        <w:rPr>
          <w:rStyle w:val="Style12"/>
          <w:sz w:val="22"/>
          <w:szCs w:val="22"/>
        </w:rPr>
        <w:t>4</w:t>
      </w:r>
      <w:r>
        <w:rPr>
          <w:rStyle w:val="Style12"/>
          <w:sz w:val="22"/>
          <w:szCs w:val="22"/>
        </w:rPr>
        <w:fldChar w:fldCharType="end"/>
      </w:r>
      <w:r>
        <w:rPr>
          <w:sz w:val="22"/>
          <w:szCs w:val="22"/>
        </w:rPr>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w:t>
      </w:r>
      <w:r>
        <w:fldChar w:fldCharType="begin"/>
      </w:r>
      <w:r>
        <w:rPr>
          <w:rStyle w:val="Style12"/>
          <w:sz w:val="22"/>
          <w:szCs w:val="22"/>
        </w:rPr>
        <w:instrText> HYPERLINK "https://vip.gosfinansy.ru/" \l "/document/99/563413016/"</w:instrText>
      </w:r>
      <w:r>
        <w:rPr>
          <w:rStyle w:val="Style12"/>
          <w:sz w:val="22"/>
          <w:szCs w:val="22"/>
        </w:rPr>
        <w:fldChar w:fldCharType="separate"/>
      </w:r>
      <w:r>
        <w:rPr>
          <w:rStyle w:val="Style12"/>
          <w:sz w:val="22"/>
          <w:szCs w:val="22"/>
        </w:rPr>
        <w:t>постановлением Правительства Российской Федерации от 30.09.2019 г. № 1279</w:t>
      </w:r>
      <w:r>
        <w:rPr>
          <w:rStyle w:val="Style12"/>
          <w:sz w:val="22"/>
          <w:szCs w:val="22"/>
        </w:rPr>
        <w:fldChar w:fldCharType="end"/>
      </w:r>
      <w:r>
        <w:rPr>
          <w:sz w:val="22"/>
          <w:szCs w:val="22"/>
        </w:rPr>
        <w:t xml:space="preserve">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администрация сельского поселения Верхнее Санчелеево муниципального района Ставропольский Самарской области</w:t>
      </w:r>
    </w:p>
    <w:p>
      <w:pPr>
        <w:pStyle w:val="NormalWeb"/>
        <w:spacing w:beforeAutospacing="0" w:before="0" w:after="280"/>
        <w:ind w:firstLine="709"/>
        <w:jc w:val="both"/>
        <w:rPr>
          <w:sz w:val="22"/>
          <w:szCs w:val="22"/>
        </w:rPr>
      </w:pPr>
      <w:r>
        <w:rPr>
          <w:b/>
          <w:bCs/>
          <w:sz w:val="22"/>
          <w:szCs w:val="22"/>
        </w:rPr>
        <w:t>ПОСТАНОВЛЯЕТ:</w:t>
      </w:r>
    </w:p>
    <w:p>
      <w:pPr>
        <w:pStyle w:val="NormalWeb"/>
        <w:ind w:firstLine="709"/>
        <w:jc w:val="both"/>
        <w:rPr>
          <w:sz w:val="22"/>
          <w:szCs w:val="22"/>
        </w:rPr>
      </w:pPr>
      <w:r>
        <w:rPr>
          <w:sz w:val="22"/>
          <w:szCs w:val="22"/>
        </w:rPr>
        <w:t>1.</w:t>
        <w:tab/>
        <w:t xml:space="preserve">Утвердить прилагаемый Порядок формирования, утверждения планов-графиков закупок, внесения изменений в такие планы-графики, размещения планов-графиков покупок в </w:t>
      </w:r>
      <w:r>
        <w:rPr>
          <w:rFonts w:eastAsia="Times New Roman"/>
          <w:sz w:val="22"/>
          <w:szCs w:val="22"/>
        </w:rPr>
        <w:t>единой информационной системе</w:t>
      </w:r>
      <w:r>
        <w:rPr>
          <w:sz w:val="22"/>
          <w:szCs w:val="22"/>
        </w:rPr>
        <w:t xml:space="preserve">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Верхнее Санчелеево муниципального района Ставропольский Самарской области (далее – Порядок).</w:t>
      </w:r>
    </w:p>
    <w:p>
      <w:pPr>
        <w:pStyle w:val="2"/>
        <w:ind w:firstLine="709"/>
        <w:jc w:val="both"/>
        <w:rPr/>
      </w:pPr>
      <w:r>
        <w:rPr>
          <w:b w:val="false"/>
          <w:sz w:val="22"/>
          <w:szCs w:val="22"/>
        </w:rPr>
        <w:t>2.</w:t>
        <w:tab/>
        <w:t xml:space="preserve">Признать утратившими силу </w:t>
      </w:r>
      <w:r>
        <w:rPr>
          <w:rFonts w:eastAsia="Times New Roman"/>
          <w:b w:val="false"/>
          <w:sz w:val="22"/>
          <w:szCs w:val="22"/>
        </w:rPr>
        <w:t xml:space="preserve">постановления администрации сельского поселения Верхнее Санчелеево муниципального района Ставропольский Самарской области от </w:t>
      </w:r>
      <w:r>
        <w:rPr>
          <w:rFonts w:eastAsia="Times New Roman"/>
          <w:b w:val="false"/>
          <w:sz w:val="22"/>
          <w:szCs w:val="22"/>
        </w:rPr>
        <w:t>29.11.2019</w:t>
      </w:r>
      <w:r>
        <w:rPr>
          <w:rFonts w:eastAsia="Times New Roman"/>
          <w:b w:val="false"/>
          <w:sz w:val="22"/>
          <w:szCs w:val="22"/>
        </w:rPr>
        <w:t xml:space="preserve"> года № </w:t>
      </w:r>
      <w:r>
        <w:rPr>
          <w:rFonts w:eastAsia="Times New Roman"/>
          <w:b w:val="false"/>
          <w:sz w:val="22"/>
          <w:szCs w:val="22"/>
        </w:rPr>
        <w:t>74</w:t>
      </w:r>
      <w:r>
        <w:rPr>
          <w:rFonts w:eastAsia="Times New Roman"/>
          <w:b w:val="false"/>
          <w:sz w:val="22"/>
          <w:szCs w:val="22"/>
        </w:rPr>
        <w:t>.</w:t>
      </w:r>
    </w:p>
    <w:p>
      <w:pPr>
        <w:pStyle w:val="NormalWeb"/>
        <w:ind w:firstLine="709"/>
        <w:jc w:val="both"/>
        <w:rPr/>
      </w:pPr>
      <w:r>
        <w:rPr>
          <w:sz w:val="22"/>
          <w:szCs w:val="22"/>
        </w:rPr>
        <w:t>3.</w:t>
        <w:tab/>
        <w:t>Настоящее постановление распространяет свое действие с 01 января 202</w:t>
      </w:r>
      <w:r>
        <w:rPr>
          <w:sz w:val="22"/>
          <w:szCs w:val="22"/>
        </w:rPr>
        <w:t>3</w:t>
      </w:r>
      <w:r>
        <w:rPr>
          <w:sz w:val="22"/>
          <w:szCs w:val="22"/>
        </w:rPr>
        <w:t xml:space="preserve"> года.</w:t>
      </w:r>
    </w:p>
    <w:p>
      <w:pPr>
        <w:pStyle w:val="Normal"/>
        <w:spacing w:before="240" w:after="0"/>
        <w:ind w:firstLine="709"/>
        <w:jc w:val="both"/>
        <w:rPr/>
      </w:pPr>
      <w:r>
        <w:rPr>
          <w:rFonts w:eastAsia="Calibri"/>
          <w:sz w:val="22"/>
          <w:szCs w:val="22"/>
        </w:rPr>
        <w:t>4.</w:t>
        <w:tab/>
        <w:t xml:space="preserve">Постановление </w:t>
      </w:r>
      <w:r>
        <w:rPr>
          <w:sz w:val="22"/>
          <w:szCs w:val="22"/>
        </w:rPr>
        <w:t>подлежит официальному опубликованию в газете «</w:t>
      </w:r>
      <w:r>
        <w:rPr>
          <w:sz w:val="22"/>
          <w:szCs w:val="22"/>
        </w:rPr>
        <w:t>Верхнесанчелеевский Вестник</w:t>
      </w:r>
      <w:r>
        <w:rPr>
          <w:sz w:val="22"/>
          <w:szCs w:val="22"/>
        </w:rPr>
        <w:t xml:space="preserve">» и на официальном сайте поселения </w:t>
      </w:r>
      <w:r>
        <w:rPr>
          <w:sz w:val="22"/>
          <w:szCs w:val="22"/>
          <w:u w:val="single"/>
          <w:lang w:val="en-US"/>
        </w:rPr>
        <w:t>http://v.sancheleevo.stavrsp.ru/</w:t>
      </w:r>
      <w:r>
        <w:rPr>
          <w:sz w:val="22"/>
          <w:szCs w:val="22"/>
          <w:u w:val="single"/>
        </w:rPr>
        <w:t>.</w:t>
      </w:r>
    </w:p>
    <w:p>
      <w:pPr>
        <w:pStyle w:val="Normal"/>
        <w:rPr>
          <w:rFonts w:eastAsia="Calibri"/>
          <w:sz w:val="22"/>
          <w:szCs w:val="22"/>
        </w:rPr>
      </w:pPr>
      <w:r>
        <w:rPr>
          <w:rFonts w:eastAsia="Calibri"/>
          <w:sz w:val="22"/>
          <w:szCs w:val="22"/>
        </w:rPr>
      </w:r>
    </w:p>
    <w:p>
      <w:pPr>
        <w:pStyle w:val="Normal"/>
        <w:rPr>
          <w:rFonts w:eastAsia="Calibri"/>
          <w:sz w:val="22"/>
          <w:szCs w:val="22"/>
        </w:rPr>
      </w:pPr>
      <w:r>
        <w:rPr>
          <w:rFonts w:eastAsia="Calibri"/>
          <w:sz w:val="22"/>
          <w:szCs w:val="22"/>
        </w:rPr>
      </w:r>
    </w:p>
    <w:p>
      <w:pPr>
        <w:pStyle w:val="Normal"/>
        <w:rPr>
          <w:rFonts w:eastAsia="Calibri"/>
          <w:sz w:val="22"/>
          <w:szCs w:val="22"/>
        </w:rPr>
      </w:pPr>
      <w:r>
        <w:rPr>
          <w:rFonts w:eastAsia="Calibri"/>
          <w:sz w:val="22"/>
          <w:szCs w:val="22"/>
        </w:rPr>
      </w:r>
    </w:p>
    <w:p>
      <w:pPr>
        <w:pStyle w:val="Normal"/>
        <w:rPr/>
      </w:pPr>
      <w:r>
        <w:rPr>
          <w:rFonts w:eastAsia="Calibri"/>
          <w:sz w:val="22"/>
          <w:szCs w:val="22"/>
        </w:rPr>
        <w:t xml:space="preserve">  </w:t>
      </w:r>
      <w:r>
        <w:rPr>
          <w:rFonts w:eastAsia="Calibri"/>
          <w:sz w:val="22"/>
          <w:szCs w:val="22"/>
        </w:rPr>
        <w:t>Глава сельского поселения Верхнее Санчелеево</w:t>
        <w:tab/>
        <w:tab/>
        <w:tab/>
        <w:tab/>
        <w:tab/>
      </w:r>
      <w:r>
        <w:rPr>
          <w:rFonts w:eastAsia="Calibri"/>
          <w:sz w:val="22"/>
          <w:szCs w:val="22"/>
        </w:rPr>
        <w:t>П.В.Чапарин</w:t>
      </w:r>
    </w:p>
    <w:p>
      <w:pPr>
        <w:pStyle w:val="Aligncenter"/>
        <w:ind w:firstLine="709"/>
        <w:jc w:val="center"/>
        <w:rPr>
          <w:b/>
          <w:b/>
          <w:bCs/>
          <w:sz w:val="22"/>
          <w:szCs w:val="22"/>
        </w:rPr>
      </w:pPr>
      <w:r>
        <w:rPr>
          <w:b/>
          <w:bCs/>
          <w:sz w:val="22"/>
          <w:szCs w:val="22"/>
        </w:rPr>
      </w:r>
    </w:p>
    <w:p>
      <w:pPr>
        <w:pStyle w:val="Aligncenter"/>
        <w:ind w:firstLine="709"/>
        <w:jc w:val="center"/>
        <w:rPr>
          <w:b/>
          <w:b/>
          <w:bCs/>
          <w:sz w:val="22"/>
          <w:szCs w:val="22"/>
        </w:rPr>
      </w:pPr>
      <w:r>
        <w:rPr>
          <w:b/>
          <w:bCs/>
          <w:sz w:val="22"/>
          <w:szCs w:val="22"/>
        </w:rPr>
      </w:r>
    </w:p>
    <w:p>
      <w:pPr>
        <w:pStyle w:val="Aligncenter"/>
        <w:ind w:firstLine="709"/>
        <w:jc w:val="center"/>
        <w:rPr>
          <w:b/>
          <w:b/>
          <w:bCs/>
          <w:sz w:val="22"/>
          <w:szCs w:val="22"/>
        </w:rPr>
      </w:pPr>
      <w:r>
        <w:rPr>
          <w:b/>
          <w:bCs/>
          <w:sz w:val="22"/>
          <w:szCs w:val="22"/>
        </w:rPr>
      </w:r>
    </w:p>
    <w:p>
      <w:pPr>
        <w:pStyle w:val="Aligncenter"/>
        <w:ind w:firstLine="709"/>
        <w:jc w:val="center"/>
        <w:rPr/>
      </w:pPr>
      <w:bookmarkStart w:id="3" w:name="_GoBack"/>
      <w:bookmarkEnd w:id="3"/>
      <w:r>
        <w:rPr>
          <w:b/>
          <w:bCs/>
          <w:sz w:val="22"/>
          <w:szCs w:val="22"/>
        </w:rPr>
        <w:t>Порядок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муниципального района  области</w:t>
      </w:r>
    </w:p>
    <w:p>
      <w:pPr>
        <w:pStyle w:val="NormalWeb"/>
        <w:ind w:firstLine="709"/>
        <w:jc w:val="both"/>
        <w:rPr/>
      </w:pPr>
      <w:r>
        <w:rPr>
          <w:sz w:val="22"/>
          <w:szCs w:val="22"/>
        </w:rPr>
        <w:t>1.</w:t>
        <w:tab/>
        <w:t xml:space="preserve">Настоящий документ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особенности включения информации, указанной в </w:t>
      </w:r>
      <w:r>
        <w:fldChar w:fldCharType="begin"/>
      </w:r>
      <w:r>
        <w:rPr>
          <w:rStyle w:val="Style12"/>
          <w:sz w:val="22"/>
          <w:szCs w:val="22"/>
        </w:rPr>
        <w:instrText> HYPERLINK "https://vip.gosfinansy.ru/" \l "/document/99/499011838/ZAP232K3E9/"</w:instrText>
      </w:r>
      <w:r>
        <w:rPr>
          <w:rStyle w:val="Style12"/>
          <w:sz w:val="22"/>
          <w:szCs w:val="22"/>
        </w:rPr>
        <w:fldChar w:fldCharType="separate"/>
      </w:r>
      <w:r>
        <w:rPr>
          <w:rStyle w:val="Style12"/>
          <w:sz w:val="22"/>
          <w:szCs w:val="22"/>
        </w:rPr>
        <w:t>части 4</w:t>
      </w:r>
      <w:r>
        <w:rPr>
          <w:rStyle w:val="Style12"/>
          <w:sz w:val="22"/>
          <w:szCs w:val="22"/>
        </w:rPr>
        <w:fldChar w:fldCharType="end"/>
      </w:r>
      <w:r>
        <w:rPr>
          <w:sz w:val="22"/>
          <w:szCs w:val="22"/>
        </w:rPr>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официальный сайт, план-график, Федеральный закон), в план-график </w:t>
      </w:r>
      <w:r>
        <w:rPr>
          <w:sz w:val="22"/>
          <w:szCs w:val="22"/>
        </w:rPr>
        <w:t>и планирования закупок заказчиком, осуществляющим деятельность на территории иностранного государства, а также</w:t>
      </w:r>
      <w:r>
        <w:rPr>
          <w:sz w:val="22"/>
          <w:szCs w:val="22"/>
        </w:rPr>
        <w:t xml:space="preserve"> требования к форме планов-графиков в соответствии с Федеральным законом.</w:t>
      </w:r>
    </w:p>
    <w:p>
      <w:pPr>
        <w:pStyle w:val="NormalWeb"/>
        <w:ind w:firstLine="709"/>
        <w:jc w:val="both"/>
        <w:rPr>
          <w:sz w:val="22"/>
          <w:szCs w:val="22"/>
        </w:rPr>
      </w:pPr>
      <w:r>
        <w:rPr>
          <w:sz w:val="22"/>
          <w:szCs w:val="22"/>
        </w:rPr>
        <w:t>2.</w:t>
        <w:tab/>
        <w:t>План-график формируется в форме электронного документа (за исключением случая, предусмотренного пунктом 20 настоящего Порядка) по форме согласно приложению и утверждается посредством подписания усиленной квалифицированной электронной подписью лица, имеющего право действовать от имени администрации сельского поселения Верхнее Санчелеево муниципального района Ставропольский Самарской области.</w:t>
      </w:r>
    </w:p>
    <w:p>
      <w:pPr>
        <w:pStyle w:val="NormalWeb"/>
        <w:ind w:firstLine="709"/>
        <w:jc w:val="both"/>
        <w:rPr>
          <w:sz w:val="22"/>
          <w:szCs w:val="22"/>
        </w:rPr>
      </w:pPr>
      <w:r>
        <w:rPr>
          <w:sz w:val="22"/>
          <w:szCs w:val="22"/>
        </w:rPr>
        <w:t>3.</w:t>
        <w:tab/>
        <w:t>План-график формируется на срок, соответствующий сроку действия решения Собрания представителей сельского поселения Верхнее Санчелеево муниципального района Ставропольский Самарской области о бюджете сельского поселения Верхнее Санчелеево муниципального района Ставропольский Самарской области на очередной финансовый год и плановый период.</w:t>
      </w:r>
    </w:p>
    <w:p>
      <w:pPr>
        <w:pStyle w:val="NormalWeb"/>
        <w:ind w:firstLine="709"/>
        <w:jc w:val="both"/>
        <w:rPr>
          <w:sz w:val="22"/>
          <w:szCs w:val="22"/>
        </w:rPr>
      </w:pPr>
      <w:r>
        <w:rPr>
          <w:sz w:val="22"/>
          <w:szCs w:val="22"/>
        </w:rPr>
        <w:t>4.</w:t>
        <w:tab/>
        <w:t>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pPr>
        <w:pStyle w:val="NormalWeb"/>
        <w:ind w:firstLine="709"/>
        <w:jc w:val="both"/>
        <w:rPr>
          <w:sz w:val="22"/>
          <w:szCs w:val="22"/>
        </w:rPr>
      </w:pPr>
      <w:r>
        <w:rPr>
          <w:sz w:val="22"/>
          <w:szCs w:val="22"/>
        </w:rPr>
        <w:t>5.</w:t>
        <w:tab/>
        <w:t>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pPr>
        <w:pStyle w:val="NormalWeb"/>
        <w:ind w:firstLine="709"/>
        <w:jc w:val="both"/>
        <w:rPr>
          <w:sz w:val="22"/>
          <w:szCs w:val="22"/>
        </w:rPr>
      </w:pPr>
      <w:r>
        <w:rPr>
          <w:sz w:val="22"/>
          <w:szCs w:val="22"/>
        </w:rPr>
        <w:t>6.</w:t>
        <w:tab/>
        <w:t>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pPr>
        <w:pStyle w:val="NormalWeb"/>
        <w:ind w:firstLine="709"/>
        <w:jc w:val="both"/>
        <w:rPr>
          <w:sz w:val="22"/>
          <w:szCs w:val="22"/>
        </w:rPr>
      </w:pPr>
      <w:r>
        <w:rPr>
          <w:sz w:val="22"/>
          <w:szCs w:val="22"/>
        </w:rPr>
        <w:t>7.</w:t>
        <w:tab/>
        <w:t>Проекты планов-графиков формируются:</w:t>
      </w:r>
    </w:p>
    <w:p>
      <w:pPr>
        <w:pStyle w:val="NormalWeb"/>
        <w:ind w:firstLine="709"/>
        <w:jc w:val="both"/>
        <w:rPr>
          <w:sz w:val="22"/>
          <w:szCs w:val="22"/>
        </w:rPr>
      </w:pPr>
      <w:r>
        <w:rPr>
          <w:sz w:val="22"/>
          <w:szCs w:val="22"/>
        </w:rPr>
        <w:t>а)</w:t>
        <w:tab/>
        <w:t>в процессе составления и рассмотрения проекта решения Собрания представителей сельского поселения Верхнее Санчелеево муниципального района Ставропольский Самарской области о бюджете;</w:t>
      </w:r>
    </w:p>
    <w:p>
      <w:pPr>
        <w:pStyle w:val="NormalWeb"/>
        <w:ind w:firstLine="709"/>
        <w:jc w:val="both"/>
        <w:rPr/>
      </w:pPr>
      <w:r>
        <w:rPr>
          <w:sz w:val="22"/>
          <w:szCs w:val="22"/>
        </w:rPr>
        <w:t>8.</w:t>
        <w:tab/>
        <w:t xml:space="preserve">Проекты планов-графиков администрации сельского поселения Верхнее Санчелеево муниципального района Ставропольский Самарской области формируются на основании обоснований (расчетов) плановых сметных показателей, формируемых при составлении проекта бюджетной сметы администрации сельского поселения Верхнее Санчелеево муниципального района Ставропольский Самарской области в соответствии с </w:t>
      </w:r>
      <w:r>
        <w:fldChar w:fldCharType="begin"/>
      </w:r>
      <w:r>
        <w:rPr>
          <w:rStyle w:val="Style12"/>
          <w:sz w:val="22"/>
          <w:szCs w:val="22"/>
        </w:rPr>
        <w:instrText> HYPERLINK "https://vip.gosfinansy.ru/" \l "/document/99/901714433/"</w:instrText>
      </w:r>
      <w:r>
        <w:rPr>
          <w:rStyle w:val="Style12"/>
          <w:sz w:val="22"/>
          <w:szCs w:val="22"/>
        </w:rPr>
        <w:fldChar w:fldCharType="separate"/>
      </w:r>
      <w:r>
        <w:rPr>
          <w:rStyle w:val="Style12"/>
          <w:sz w:val="22"/>
          <w:szCs w:val="22"/>
        </w:rPr>
        <w:t>Бюджетным кодексом Российской Федерации</w:t>
      </w:r>
      <w:r>
        <w:rPr>
          <w:rStyle w:val="Style12"/>
          <w:sz w:val="22"/>
          <w:szCs w:val="22"/>
        </w:rPr>
        <w:fldChar w:fldCharType="end"/>
      </w:r>
      <w:r>
        <w:rPr>
          <w:sz w:val="22"/>
          <w:szCs w:val="22"/>
        </w:rPr>
        <w:t>.</w:t>
      </w:r>
    </w:p>
    <w:p>
      <w:pPr>
        <w:pStyle w:val="NormalWeb"/>
        <w:ind w:firstLine="709"/>
        <w:jc w:val="both"/>
        <w:rPr>
          <w:sz w:val="22"/>
          <w:szCs w:val="22"/>
        </w:rPr>
      </w:pPr>
      <w:r>
        <w:rPr>
          <w:sz w:val="22"/>
          <w:szCs w:val="22"/>
        </w:rPr>
        <w:t>9.</w:t>
        <w:tab/>
        <w:t>План-график утверждается в течение 10 рабочих дней:</w:t>
      </w:r>
    </w:p>
    <w:p>
      <w:pPr>
        <w:pStyle w:val="NormalWeb"/>
        <w:ind w:firstLine="709"/>
        <w:jc w:val="both"/>
        <w:rPr>
          <w:sz w:val="22"/>
          <w:szCs w:val="22"/>
        </w:rPr>
      </w:pPr>
      <w:r>
        <w:rPr>
          <w:sz w:val="22"/>
          <w:szCs w:val="22"/>
        </w:rPr>
        <w:t>а)</w:t>
        <w:tab/>
        <w:t>со дня, следующего за днем доведения до администрации сельского поселения Верхнее Санчелеево муниципального района Ставропольский Самарской объема прав в денежном выражении на принятие и (или) исполнение обязательств в соответствии с бюджетным законодательством Российской Федерации;</w:t>
      </w:r>
    </w:p>
    <w:p>
      <w:pPr>
        <w:pStyle w:val="NormalWeb"/>
        <w:ind w:firstLine="709"/>
        <w:jc w:val="both"/>
        <w:rPr>
          <w:sz w:val="22"/>
          <w:szCs w:val="22"/>
        </w:rPr>
      </w:pPr>
      <w:r>
        <w:rPr>
          <w:sz w:val="22"/>
          <w:szCs w:val="22"/>
        </w:rPr>
        <w:t>10.</w:t>
        <w:tab/>
        <w:t>В разделе 1 приложения к настоящему Порядку указывается следующая информация о заказчике и лице, указанных в пункте 2 настоящего Порядка:</w:t>
      </w:r>
    </w:p>
    <w:p>
      <w:pPr>
        <w:pStyle w:val="NormalWeb"/>
        <w:ind w:firstLine="709"/>
        <w:jc w:val="both"/>
        <w:rPr>
          <w:sz w:val="22"/>
          <w:szCs w:val="22"/>
        </w:rPr>
      </w:pPr>
      <w:r>
        <w:rPr>
          <w:sz w:val="22"/>
          <w:szCs w:val="22"/>
        </w:rPr>
        <w:t>а)</w:t>
        <w:tab/>
        <w:t>полное наименование;</w:t>
      </w:r>
    </w:p>
    <w:p>
      <w:pPr>
        <w:pStyle w:val="NormalWeb"/>
        <w:ind w:firstLine="709"/>
        <w:jc w:val="both"/>
        <w:rPr>
          <w:sz w:val="22"/>
          <w:szCs w:val="22"/>
        </w:rPr>
      </w:pPr>
      <w:r>
        <w:rPr>
          <w:sz w:val="22"/>
          <w:szCs w:val="22"/>
        </w:rPr>
        <w:t>б)</w:t>
        <w:tab/>
        <w:t>идентификационный номер налогоплательщика;</w:t>
      </w:r>
    </w:p>
    <w:p>
      <w:pPr>
        <w:pStyle w:val="NormalWeb"/>
        <w:ind w:firstLine="709"/>
        <w:jc w:val="both"/>
        <w:rPr>
          <w:sz w:val="22"/>
          <w:szCs w:val="22"/>
        </w:rPr>
      </w:pPr>
      <w:r>
        <w:rPr>
          <w:sz w:val="22"/>
          <w:szCs w:val="22"/>
        </w:rPr>
        <w:t>в)</w:t>
        <w:tab/>
        <w:t>код причины постановки на учет в налоговом органе;</w:t>
      </w:r>
    </w:p>
    <w:p>
      <w:pPr>
        <w:pStyle w:val="NormalWeb"/>
        <w:ind w:firstLine="709"/>
        <w:jc w:val="both"/>
        <w:rPr>
          <w:sz w:val="22"/>
          <w:szCs w:val="22"/>
        </w:rPr>
      </w:pPr>
      <w:r>
        <w:rPr>
          <w:sz w:val="22"/>
          <w:szCs w:val="22"/>
        </w:rPr>
        <w:t>г)</w:t>
        <w:tab/>
        <w:t>организационно-правовая форма с указанием кода организационно-правовой формы в соответствии с Общероссийским классификатором организационно-правовых форм;</w:t>
      </w:r>
    </w:p>
    <w:p>
      <w:pPr>
        <w:pStyle w:val="NormalWeb"/>
        <w:ind w:firstLine="709"/>
        <w:jc w:val="both"/>
        <w:rPr>
          <w:sz w:val="22"/>
          <w:szCs w:val="22"/>
        </w:rPr>
      </w:pPr>
      <w:r>
        <w:rPr>
          <w:sz w:val="22"/>
          <w:szCs w:val="22"/>
        </w:rPr>
        <w:t>д)</w:t>
        <w:tab/>
        <w:t>форма собственности с указанием кода формы собственности по Общероссийскому классификатору форм собственности;</w:t>
      </w:r>
    </w:p>
    <w:p>
      <w:pPr>
        <w:pStyle w:val="NormalWeb"/>
        <w:ind w:firstLine="709"/>
        <w:jc w:val="both"/>
        <w:rPr>
          <w:sz w:val="22"/>
          <w:szCs w:val="22"/>
        </w:rPr>
      </w:pPr>
      <w:r>
        <w:rPr>
          <w:sz w:val="22"/>
          <w:szCs w:val="22"/>
        </w:rPr>
        <w:t>е)</w:t>
        <w:tab/>
        <w:t>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pPr>
        <w:pStyle w:val="NormalWeb"/>
        <w:ind w:firstLine="709"/>
        <w:jc w:val="both"/>
        <w:rPr>
          <w:sz w:val="22"/>
          <w:szCs w:val="22"/>
        </w:rPr>
      </w:pPr>
      <w:r>
        <w:rPr>
          <w:sz w:val="22"/>
          <w:szCs w:val="22"/>
        </w:rPr>
        <w:t>ж)</w:t>
        <w:tab/>
        <w:t>в отношении плана-графика, содержащего информацию о закупках, осуществляемых в рамках переданных бюджетному, автономному учреждению, муниципальному унитарному предприятию, иному юридическому лицу полномочий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 такого учреждения, унитарного предприятия или юридического лица.</w:t>
      </w:r>
    </w:p>
    <w:p>
      <w:pPr>
        <w:pStyle w:val="NormalWeb"/>
        <w:ind w:firstLine="709"/>
        <w:jc w:val="both"/>
        <w:rPr>
          <w:sz w:val="22"/>
          <w:szCs w:val="22"/>
        </w:rPr>
      </w:pPr>
      <w:r>
        <w:rPr>
          <w:sz w:val="22"/>
          <w:szCs w:val="22"/>
        </w:rPr>
        <w:t>11.</w:t>
        <w:tab/>
        <w:t>Информация, предусмотренная пунктом 10 настоящего Порядка, формируется (за исключением случая, предусмотренного пунктом 20 настоящего Порядка)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p>
    <w:p>
      <w:pPr>
        <w:pStyle w:val="NormalWeb"/>
        <w:ind w:firstLine="709"/>
        <w:jc w:val="both"/>
        <w:rPr>
          <w:sz w:val="22"/>
          <w:szCs w:val="22"/>
        </w:rPr>
      </w:pPr>
      <w:r>
        <w:rPr>
          <w:sz w:val="22"/>
          <w:szCs w:val="22"/>
        </w:rPr>
        <w:t>12.</w:t>
        <w:tab/>
        <w:t>В разделе 2 приложения к настоящему Порядку:</w:t>
      </w:r>
    </w:p>
    <w:p>
      <w:pPr>
        <w:pStyle w:val="NormalWeb"/>
        <w:ind w:firstLine="709"/>
        <w:jc w:val="both"/>
        <w:rPr>
          <w:sz w:val="22"/>
          <w:szCs w:val="22"/>
        </w:rPr>
      </w:pPr>
      <w:r>
        <w:rPr>
          <w:sz w:val="22"/>
          <w:szCs w:val="22"/>
        </w:rPr>
        <w:t>а)</w:t>
        <w:tab/>
        <w:t>в графе 2 указывается идентификационный код закупки в соответствии с порядком, установленным в соответствии с частью 3 статьи 23 Федерального закона;</w:t>
      </w:r>
    </w:p>
    <w:p>
      <w:pPr>
        <w:pStyle w:val="NormalWeb"/>
        <w:ind w:firstLine="709"/>
        <w:jc w:val="both"/>
        <w:rPr>
          <w:sz w:val="22"/>
          <w:szCs w:val="22"/>
        </w:rPr>
      </w:pPr>
      <w:r>
        <w:rPr>
          <w:sz w:val="22"/>
          <w:szCs w:val="22"/>
        </w:rPr>
        <w:t>б)</w:t>
        <w:tab/>
        <w:t>графы 3 и 4 заполняются на основании Общероссийского классификатора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классификатора;</w:t>
      </w:r>
    </w:p>
    <w:p>
      <w:pPr>
        <w:pStyle w:val="NormalWeb"/>
        <w:ind w:firstLine="709"/>
        <w:jc w:val="both"/>
        <w:rPr>
          <w:sz w:val="22"/>
          <w:szCs w:val="22"/>
        </w:rPr>
      </w:pPr>
      <w:r>
        <w:rPr>
          <w:sz w:val="22"/>
          <w:szCs w:val="22"/>
        </w:rPr>
        <w:t>в)</w:t>
        <w:tab/>
        <w:t>в графе 5 указывается наименование объекта закупки;</w:t>
      </w:r>
    </w:p>
    <w:p>
      <w:pPr>
        <w:pStyle w:val="NormalWeb"/>
        <w:ind w:firstLine="709"/>
        <w:jc w:val="both"/>
        <w:rPr>
          <w:sz w:val="22"/>
          <w:szCs w:val="22"/>
        </w:rPr>
      </w:pPr>
      <w:r>
        <w:rPr>
          <w:sz w:val="22"/>
          <w:szCs w:val="22"/>
        </w:rPr>
        <w:t>г) в графе 6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pPr>
        <w:pStyle w:val="NormalWeb"/>
        <w:ind w:firstLine="709"/>
        <w:jc w:val="both"/>
        <w:rPr>
          <w:sz w:val="22"/>
          <w:szCs w:val="22"/>
        </w:rPr>
      </w:pPr>
      <w:r>
        <w:rPr>
          <w:sz w:val="22"/>
          <w:szCs w:val="22"/>
        </w:rPr>
        <w:t>д)</w:t>
        <w:tab/>
        <w:t>в графах 7 - 11 указывается объем финансового обеспечения (планируемые платежи) для осуществления закупок на соответствующий финансовый год;</w:t>
      </w:r>
    </w:p>
    <w:p>
      <w:pPr>
        <w:pStyle w:val="NormalWeb"/>
        <w:ind w:firstLine="709"/>
        <w:jc w:val="both"/>
        <w:rPr>
          <w:sz w:val="22"/>
          <w:szCs w:val="22"/>
        </w:rPr>
      </w:pPr>
      <w:r>
        <w:rPr>
          <w:sz w:val="22"/>
          <w:szCs w:val="22"/>
        </w:rPr>
        <w:t>е)</w:t>
        <w:tab/>
        <w:t>в графах 7 - 11 в строке "Всего для осуществления закупок, в том числе по коду бюджетной классификации ______/по соглашению от _____ N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 коду бюджетной классификации.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пунктом 13 настоящего Порядка;</w:t>
      </w:r>
    </w:p>
    <w:p>
      <w:pPr>
        <w:pStyle w:val="NormalWeb"/>
        <w:ind w:firstLine="709"/>
        <w:jc w:val="both"/>
        <w:rPr/>
      </w:pPr>
      <w:r>
        <w:rPr>
          <w:sz w:val="22"/>
          <w:szCs w:val="22"/>
        </w:rPr>
        <w:t>ж)</w:t>
        <w:tab/>
        <w:t>в графе 12 указывается информация о проведении общественного обсуждения закупки (путем указания "да" или "нет"). Графа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pPr>
        <w:pStyle w:val="NormalWeb"/>
        <w:ind w:firstLine="709"/>
        <w:jc w:val="both"/>
        <w:rPr>
          <w:sz w:val="22"/>
          <w:szCs w:val="22"/>
        </w:rPr>
      </w:pPr>
      <w:r>
        <w:rPr>
          <w:sz w:val="22"/>
          <w:szCs w:val="22"/>
        </w:rPr>
        <w:t>з)</w:t>
        <w:tab/>
        <w:t>в графе 13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pPr>
        <w:pStyle w:val="NormalWeb"/>
        <w:ind w:firstLine="709"/>
        <w:jc w:val="both"/>
        <w:rPr>
          <w:sz w:val="22"/>
          <w:szCs w:val="22"/>
        </w:rPr>
      </w:pPr>
      <w:r>
        <w:rPr>
          <w:sz w:val="22"/>
          <w:szCs w:val="22"/>
        </w:rPr>
        <w:t>и)</w:t>
        <w:tab/>
        <w:t>в графе 14 указывается наименование организатора совместного конкурса или аукциона в случае проведения совместного конкурса или аукциона.</w:t>
      </w:r>
    </w:p>
    <w:p>
      <w:pPr>
        <w:pStyle w:val="NormalWeb"/>
        <w:ind w:firstLine="709"/>
        <w:jc w:val="both"/>
        <w:rPr/>
      </w:pPr>
      <w:r>
        <w:rPr>
          <w:sz w:val="22"/>
          <w:szCs w:val="22"/>
        </w:rPr>
        <w:t>13.</w:t>
        <w:tab/>
        <w:t>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управления общественными финансами "Электронный бюджет" и региональными и муниципальными информационными системами в сфере закупок администрацией сельского поселения Верхнее Санчелеево муниципального района Ставропольский Самарской области, без включения в план-график</w:t>
      </w:r>
    </w:p>
    <w:p>
      <w:pPr>
        <w:pStyle w:val="NormalWeb"/>
        <w:ind w:firstLine="709"/>
        <w:jc w:val="both"/>
        <w:rPr>
          <w:sz w:val="22"/>
          <w:szCs w:val="22"/>
        </w:rPr>
      </w:pPr>
      <w:r>
        <w:rPr>
          <w:sz w:val="22"/>
          <w:szCs w:val="22"/>
        </w:rPr>
        <w:t>14.</w:t>
        <w:tab/>
        <w:t>В план-график в форме отдельной закупки включается информация:</w:t>
      </w:r>
    </w:p>
    <w:p>
      <w:pPr>
        <w:pStyle w:val="NormalWeb"/>
        <w:ind w:firstLine="709"/>
        <w:jc w:val="both"/>
        <w:rPr>
          <w:sz w:val="22"/>
          <w:szCs w:val="22"/>
        </w:rPr>
      </w:pPr>
      <w:r>
        <w:rPr>
          <w:sz w:val="22"/>
          <w:szCs w:val="22"/>
        </w:rPr>
        <w:t>а)</w:t>
        <w:tab/>
        <w:t>о закупке работ по строительству, реконструкции объекта капитального строительства по каждому такому объекту;</w:t>
      </w:r>
    </w:p>
    <w:p>
      <w:pPr>
        <w:pStyle w:val="NormalWeb"/>
        <w:ind w:firstLine="709"/>
        <w:jc w:val="both"/>
        <w:rPr>
          <w:sz w:val="22"/>
          <w:szCs w:val="22"/>
        </w:rPr>
      </w:pPr>
      <w:r>
        <w:rPr>
          <w:sz w:val="22"/>
          <w:szCs w:val="22"/>
        </w:rPr>
        <w:t>б)</w:t>
        <w:tab/>
        <w:t>о закупке, предусматривающей заключение энергосервисного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pPr>
        <w:pStyle w:val="NormalWeb"/>
        <w:ind w:firstLine="709"/>
        <w:jc w:val="both"/>
        <w:rPr>
          <w:sz w:val="22"/>
          <w:szCs w:val="22"/>
        </w:rPr>
      </w:pPr>
      <w:r>
        <w:rPr>
          <w:sz w:val="22"/>
          <w:szCs w:val="22"/>
        </w:rPr>
        <w:t>в)</w:t>
        <w:tab/>
        <w:t>о каждом лоте, выделяемом в соответствии с Федеральным законом;</w:t>
      </w:r>
    </w:p>
    <w:p>
      <w:pPr>
        <w:pStyle w:val="NormalWeb"/>
        <w:ind w:firstLine="709"/>
        <w:jc w:val="both"/>
        <w:rPr/>
      </w:pPr>
      <w:r>
        <w:rPr>
          <w:sz w:val="22"/>
          <w:szCs w:val="22"/>
        </w:rPr>
        <w:t>г)</w:t>
        <w:tab/>
        <w:t>о закупках, которые планируется осуществлять в соответствии с подпунктом "г" пункта 2 части 10 статьи 24), пунктами 4 (за исключением закупки у единственного поставщика на сумму, предусмотренную частью 12 статьи 93 Федерального закона), 5 (за исключением закупки у единственного поставщика на сумму, предусмотренную частью 12 статьи 93 Федерального закона), 23, 26, 33, 42 и 44 части 1 и частью 12 статьи 93 Федерального закона, в размере годового объема финансового обеспечения соответствующих закупок. При этом графы 3, 4, 12, 14 раздела 2 приложения к настоящему Положению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p>
    <w:p>
      <w:pPr>
        <w:pStyle w:val="NormalWeb"/>
        <w:ind w:firstLine="709"/>
        <w:jc w:val="both"/>
        <w:rPr>
          <w:sz w:val="22"/>
          <w:szCs w:val="22"/>
        </w:rPr>
      </w:pPr>
      <w:r>
        <w:rPr>
          <w:sz w:val="22"/>
          <w:szCs w:val="22"/>
        </w:rPr>
        <w:t>д)</w:t>
        <w:tab/>
        <w:t>о закупке, подлежащей общественному обсуждению в соответствии с Федеральным законом.</w:t>
      </w:r>
    </w:p>
    <w:p>
      <w:pPr>
        <w:pStyle w:val="Normal"/>
        <w:spacing w:before="0" w:after="223"/>
        <w:ind w:firstLine="709"/>
        <w:jc w:val="both"/>
        <w:rPr/>
      </w:pPr>
      <w:r>
        <w:rPr>
          <w:sz w:val="22"/>
          <w:szCs w:val="22"/>
        </w:rPr>
        <w:t>15.</w:t>
        <w:tab/>
        <w:t xml:space="preserve">Администрация сельского поселения Верхнее Санчелеево муниципального района Ставропольский Самарской области, за исключением случая, предусмотренного </w:t>
      </w:r>
      <w:r>
        <w:fldChar w:fldCharType="begin"/>
      </w:r>
      <w:r>
        <w:rPr>
          <w:rStyle w:val="Style12"/>
          <w:sz w:val="22"/>
          <w:szCs w:val="22"/>
        </w:rPr>
        <w:instrText> HYPERLINK "https://vip.gosfinansy.ru/" \l "/document/99/563413016/XA00M362MC/" \n _self</w:instrText>
      </w:r>
      <w:r>
        <w:rPr>
          <w:rStyle w:val="Style12"/>
          <w:sz w:val="22"/>
          <w:szCs w:val="22"/>
        </w:rPr>
        <w:fldChar w:fldCharType="separate"/>
      </w:r>
      <w:r>
        <w:rPr>
          <w:rStyle w:val="Style12"/>
          <w:sz w:val="22"/>
          <w:szCs w:val="22"/>
        </w:rPr>
        <w:t>пунктом 20 настоящего Порядка</w:t>
      </w:r>
      <w:r>
        <w:rPr>
          <w:rStyle w:val="Style12"/>
          <w:sz w:val="22"/>
          <w:szCs w:val="22"/>
        </w:rPr>
        <w:fldChar w:fldCharType="end"/>
      </w:r>
      <w:r>
        <w:rPr>
          <w:sz w:val="22"/>
          <w:szCs w:val="22"/>
        </w:rPr>
        <w:t>, формирует, утверждает и размещает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pPr>
        <w:pStyle w:val="NormalWeb"/>
        <w:ind w:firstLine="709"/>
        <w:jc w:val="both"/>
        <w:rPr>
          <w:sz w:val="22"/>
          <w:szCs w:val="22"/>
        </w:rPr>
      </w:pPr>
      <w:r>
        <w:rPr>
          <w:sz w:val="22"/>
          <w:szCs w:val="22"/>
        </w:rPr>
        <w:t>16.</w:t>
        <w:tab/>
        <w:t>Размещение (за исключением случая, предусмотренного пунктом 20 настоящего Порядка) плана-графика в единой информационной системе осуществляется автоматически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pPr>
        <w:pStyle w:val="NormalWeb"/>
        <w:ind w:firstLine="709"/>
        <w:jc w:val="both"/>
        <w:rPr>
          <w:sz w:val="22"/>
          <w:szCs w:val="22"/>
        </w:rPr>
      </w:pPr>
      <w:r>
        <w:rPr>
          <w:sz w:val="22"/>
          <w:szCs w:val="22"/>
        </w:rPr>
        <w:t>17.</w:t>
        <w:tab/>
        <w:t>Планы-графики подлежат изменению при необходимости в случаях:</w:t>
      </w:r>
    </w:p>
    <w:p>
      <w:pPr>
        <w:pStyle w:val="NormalWeb"/>
        <w:ind w:firstLine="709"/>
        <w:jc w:val="both"/>
        <w:rPr>
          <w:sz w:val="22"/>
          <w:szCs w:val="22"/>
        </w:rPr>
      </w:pPr>
      <w:r>
        <w:rPr>
          <w:sz w:val="22"/>
          <w:szCs w:val="22"/>
        </w:rPr>
        <w:t>а)</w:t>
        <w:tab/>
        <w:t>предусмотренных пунктами 1 - 4 части 8 статьи 16 Федерального закона;</w:t>
      </w:r>
    </w:p>
    <w:p>
      <w:pPr>
        <w:pStyle w:val="NormalWeb"/>
        <w:ind w:firstLine="709"/>
        <w:jc w:val="both"/>
        <w:rPr>
          <w:sz w:val="22"/>
          <w:szCs w:val="22"/>
        </w:rPr>
      </w:pPr>
      <w:r>
        <w:rPr>
          <w:sz w:val="22"/>
          <w:szCs w:val="22"/>
        </w:rPr>
        <w:t>б)</w:t>
        <w:tab/>
        <w:t>уточнения информации об объекте закупки;</w:t>
      </w:r>
    </w:p>
    <w:p>
      <w:pPr>
        <w:pStyle w:val="NormalWeb"/>
        <w:ind w:firstLine="709"/>
        <w:jc w:val="both"/>
        <w:rPr>
          <w:sz w:val="22"/>
          <w:szCs w:val="22"/>
        </w:rPr>
      </w:pPr>
      <w:r>
        <w:rPr>
          <w:sz w:val="22"/>
          <w:szCs w:val="22"/>
        </w:rPr>
        <w:t>в)</w:t>
        <w:tab/>
        <w:t>исполнения предписания органов контроля, указанных в части 1 статьи 99 Федерального закона;</w:t>
      </w:r>
    </w:p>
    <w:p>
      <w:pPr>
        <w:pStyle w:val="NormalWeb"/>
        <w:ind w:firstLine="709"/>
        <w:jc w:val="both"/>
        <w:rPr>
          <w:sz w:val="22"/>
          <w:szCs w:val="22"/>
        </w:rPr>
      </w:pPr>
      <w:r>
        <w:rPr>
          <w:sz w:val="22"/>
          <w:szCs w:val="22"/>
        </w:rPr>
        <w:t>г)</w:t>
        <w:tab/>
        <w:t>признания определения поставщика (подрядчика, исполнителя) несостоявшимся;</w:t>
      </w:r>
    </w:p>
    <w:p>
      <w:pPr>
        <w:pStyle w:val="NormalWeb"/>
        <w:ind w:firstLine="709"/>
        <w:jc w:val="both"/>
        <w:rPr>
          <w:sz w:val="22"/>
          <w:szCs w:val="22"/>
        </w:rPr>
      </w:pPr>
      <w:r>
        <w:rPr>
          <w:sz w:val="22"/>
          <w:szCs w:val="22"/>
        </w:rPr>
        <w:t>д)</w:t>
        <w:tab/>
        <w:t>расторжения контракта;</w:t>
      </w:r>
    </w:p>
    <w:p>
      <w:pPr>
        <w:pStyle w:val="NormalWeb"/>
        <w:ind w:firstLine="709"/>
        <w:jc w:val="both"/>
        <w:rPr>
          <w:sz w:val="22"/>
          <w:szCs w:val="22"/>
        </w:rPr>
      </w:pPr>
      <w:r>
        <w:rPr>
          <w:sz w:val="22"/>
          <w:szCs w:val="22"/>
        </w:rPr>
        <w:t>е)</w:t>
        <w:tab/>
        <w:t>возникновения иных обстоятельств, предвидеть которые при утверждении плана-графика было невозможно.</w:t>
      </w:r>
    </w:p>
    <w:p>
      <w:pPr>
        <w:pStyle w:val="NormalWeb"/>
        <w:ind w:firstLine="709"/>
        <w:jc w:val="both"/>
        <w:rPr/>
      </w:pPr>
      <w:r>
        <w:rPr>
          <w:sz w:val="22"/>
          <w:szCs w:val="22"/>
        </w:rPr>
        <w:t>18.</w:t>
        <w:tab/>
      </w:r>
      <w:r>
        <w:rPr>
          <w:sz w:val="22"/>
          <w:szCs w:val="22"/>
        </w:rPr>
        <w:t>В</w:t>
      </w:r>
      <w:r>
        <w:rPr>
          <w:sz w:val="22"/>
          <w:szCs w:val="22"/>
        </w:rPr>
        <w:t xml:space="preserve"> случае осуществления закупки у единственного поставщика (подрядчика, исполнителя) в соответствии с пунктом 9 части 1 статьи 93 Федерального закона внесение изменений в план-график осуществляется не позднее дня заключения контракта.</w:t>
      </w:r>
    </w:p>
    <w:p>
      <w:pPr>
        <w:pStyle w:val="NormalWeb"/>
        <w:ind w:firstLine="709"/>
        <w:jc w:val="both"/>
        <w:rPr>
          <w:sz w:val="22"/>
          <w:szCs w:val="22"/>
        </w:rPr>
      </w:pPr>
      <w:r>
        <w:rPr>
          <w:sz w:val="22"/>
          <w:szCs w:val="22"/>
        </w:rPr>
        <w:t>19.</w:t>
        <w:tab/>
        <w:t>При внесении изменений в план-график в единой информационной системе в соответствии с настоящим Положением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pPr>
        <w:pStyle w:val="NormalWeb"/>
        <w:ind w:firstLine="709"/>
        <w:jc w:val="both"/>
        <w:rPr/>
      </w:pPr>
      <w:r>
        <w:rPr>
          <w:sz w:val="22"/>
          <w:szCs w:val="22"/>
        </w:rPr>
        <w:t>20.</w:t>
        <w:tab/>
        <w:t>Информация о закупках, предусмотренных пунктом 1 части 11 статьи 24 Федерального закона, о закупках у единственного поставщика (подрядчика, исполнителя) для обеспечения федеральных нужд, если сведения о таких нуждах составляют государственную тайну,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
    <w:p>
      <w:pPr>
        <w:sectPr>
          <w:type w:val="nextPage"/>
          <w:pgSz w:w="11906" w:h="16838"/>
          <w:pgMar w:left="1134" w:right="567" w:header="0" w:top="425" w:footer="0" w:bottom="425" w:gutter="0"/>
          <w:pgNumType w:fmt="decimal"/>
          <w:formProt w:val="false"/>
          <w:textDirection w:val="lrTb"/>
          <w:docGrid w:type="default" w:linePitch="360" w:charSpace="0"/>
        </w:sectPr>
        <w:pStyle w:val="Normal"/>
        <w:rPr>
          <w:sz w:val="25"/>
          <w:szCs w:val="25"/>
        </w:rPr>
      </w:pPr>
      <w:r>
        <w:rPr>
          <w:sz w:val="25"/>
          <w:szCs w:val="25"/>
        </w:rPr>
      </w:r>
    </w:p>
    <w:tbl>
      <w:tblPr>
        <w:tblStyle w:val="a8"/>
        <w:tblW w:w="14786" w:type="dxa"/>
        <w:jc w:val="left"/>
        <w:tblInd w:w="0" w:type="dxa"/>
        <w:tblCellMar>
          <w:top w:w="0" w:type="dxa"/>
          <w:left w:w="108" w:type="dxa"/>
          <w:bottom w:w="0" w:type="dxa"/>
          <w:right w:w="108" w:type="dxa"/>
        </w:tblCellMar>
        <w:tblLook w:firstRow="1" w:noVBand="1" w:lastRow="0" w:firstColumn="1" w:lastColumn="0" w:noHBand="0" w:val="04a0"/>
      </w:tblPr>
      <w:tblGrid>
        <w:gridCol w:w="7393"/>
        <w:gridCol w:w="7392"/>
      </w:tblGrid>
      <w:tr>
        <w:trPr/>
        <w:tc>
          <w:tcPr>
            <w:tcW w:w="7393" w:type="dxa"/>
            <w:tcBorders>
              <w:top w:val="nil"/>
              <w:left w:val="nil"/>
              <w:bottom w:val="nil"/>
              <w:right w:val="nil"/>
              <w:insideH w:val="nil"/>
              <w:insideV w:val="nil"/>
            </w:tcBorders>
            <w:shd w:fill="auto" w:val="clear"/>
          </w:tcPr>
          <w:p>
            <w:pPr>
              <w:pStyle w:val="NormalWeb"/>
              <w:pageBreakBefore/>
              <w:spacing w:before="280" w:after="280"/>
              <w:ind w:right="3" w:hanging="0"/>
              <w:jc w:val="both"/>
              <w:rPr>
                <w:sz w:val="25"/>
                <w:szCs w:val="25"/>
              </w:rPr>
            </w:pPr>
            <w:r>
              <w:rPr>
                <w:sz w:val="25"/>
                <w:szCs w:val="25"/>
              </w:rPr>
            </w:r>
          </w:p>
        </w:tc>
        <w:tc>
          <w:tcPr>
            <w:tcW w:w="7392" w:type="dxa"/>
            <w:tcBorders>
              <w:top w:val="nil"/>
              <w:left w:val="nil"/>
              <w:bottom w:val="nil"/>
              <w:right w:val="nil"/>
              <w:insideH w:val="nil"/>
              <w:insideV w:val="nil"/>
            </w:tcBorders>
            <w:shd w:fill="auto" w:val="clear"/>
          </w:tcPr>
          <w:p>
            <w:pPr>
              <w:pStyle w:val="Alignright"/>
              <w:spacing w:before="280" w:afterAutospacing="0" w:after="0"/>
              <w:jc w:val="right"/>
              <w:rPr>
                <w:sz w:val="16"/>
                <w:szCs w:val="16"/>
              </w:rPr>
            </w:pPr>
            <w:r>
              <w:rPr>
                <w:sz w:val="16"/>
                <w:szCs w:val="16"/>
              </w:rPr>
              <w:t>Приложение</w:t>
            </w:r>
          </w:p>
          <w:p>
            <w:pPr>
              <w:pStyle w:val="Alignright"/>
              <w:spacing w:beforeAutospacing="0" w:before="0" w:afterAutospacing="0" w:after="0"/>
              <w:jc w:val="right"/>
              <w:rPr>
                <w:sz w:val="16"/>
                <w:szCs w:val="16"/>
              </w:rPr>
            </w:pPr>
            <w:r>
              <w:rPr>
                <w:sz w:val="16"/>
                <w:szCs w:val="16"/>
              </w:rPr>
              <w:t>к Порядку формирования, утверждения планов-графиков закупок,</w:t>
            </w:r>
          </w:p>
          <w:p>
            <w:pPr>
              <w:pStyle w:val="Alignright"/>
              <w:spacing w:beforeAutospacing="0" w:before="0" w:afterAutospacing="0" w:after="0"/>
              <w:jc w:val="right"/>
              <w:rPr>
                <w:sz w:val="16"/>
                <w:szCs w:val="16"/>
              </w:rPr>
            </w:pPr>
            <w:r>
              <w:rPr>
                <w:sz w:val="16"/>
                <w:szCs w:val="16"/>
              </w:rPr>
              <w:t xml:space="preserve">внесения изменений в такие планы-графики, </w:t>
            </w:r>
          </w:p>
          <w:p>
            <w:pPr>
              <w:pStyle w:val="Alignright"/>
              <w:spacing w:beforeAutospacing="0" w:before="0" w:afterAutospacing="0" w:after="0"/>
              <w:jc w:val="right"/>
              <w:rPr>
                <w:sz w:val="16"/>
                <w:szCs w:val="16"/>
              </w:rPr>
            </w:pPr>
            <w:r>
              <w:rPr>
                <w:sz w:val="16"/>
                <w:szCs w:val="16"/>
              </w:rPr>
              <w:t>размещения планов-графиков покупок в ЕИС в сфере закупок,</w:t>
            </w:r>
          </w:p>
          <w:p>
            <w:pPr>
              <w:pStyle w:val="Alignright"/>
              <w:spacing w:beforeAutospacing="0" w:before="0" w:afterAutospacing="0" w:after="0"/>
              <w:jc w:val="right"/>
              <w:rPr>
                <w:sz w:val="16"/>
                <w:szCs w:val="16"/>
              </w:rPr>
            </w:pPr>
            <w:r>
              <w:rPr>
                <w:sz w:val="16"/>
                <w:szCs w:val="16"/>
              </w:rPr>
              <w:t>обоснований включения информации в такие планы-графики</w:t>
            </w:r>
          </w:p>
          <w:p>
            <w:pPr>
              <w:pStyle w:val="Alignright"/>
              <w:spacing w:beforeAutospacing="0" w:before="0" w:afterAutospacing="0" w:after="0"/>
              <w:jc w:val="right"/>
              <w:rPr>
                <w:sz w:val="16"/>
                <w:szCs w:val="16"/>
              </w:rPr>
            </w:pPr>
            <w:r>
              <w:rPr>
                <w:sz w:val="16"/>
                <w:szCs w:val="16"/>
              </w:rPr>
              <w:t>и требований к форме планов-графиков закупок для обеспечения функций</w:t>
            </w:r>
          </w:p>
          <w:p>
            <w:pPr>
              <w:pStyle w:val="Alignright"/>
              <w:spacing w:beforeAutospacing="0" w:before="0" w:afterAutospacing="0" w:after="0"/>
              <w:jc w:val="right"/>
              <w:rPr>
                <w:sz w:val="16"/>
                <w:szCs w:val="16"/>
              </w:rPr>
            </w:pPr>
            <w:r>
              <w:rPr>
                <w:sz w:val="16"/>
                <w:szCs w:val="16"/>
              </w:rPr>
              <w:t>администрации сельского поселения Верхнее Санчелеево муниципального района Самарской области</w:t>
            </w:r>
          </w:p>
          <w:p>
            <w:pPr>
              <w:pStyle w:val="Alignright"/>
              <w:spacing w:beforeAutospacing="0" w:before="0" w:afterAutospacing="0" w:after="0"/>
              <w:jc w:val="right"/>
              <w:rPr>
                <w:sz w:val="16"/>
                <w:szCs w:val="16"/>
              </w:rPr>
            </w:pPr>
            <w:r>
              <w:rPr>
                <w:sz w:val="16"/>
                <w:szCs w:val="16"/>
              </w:rPr>
              <w:t>(форма)</w:t>
            </w:r>
          </w:p>
          <w:p>
            <w:pPr>
              <w:pStyle w:val="NormalWeb"/>
              <w:spacing w:before="280" w:after="280"/>
              <w:ind w:right="3" w:hanging="0"/>
              <w:jc w:val="both"/>
              <w:rPr>
                <w:sz w:val="10"/>
                <w:szCs w:val="10"/>
              </w:rPr>
            </w:pPr>
            <w:r>
              <w:rPr>
                <w:sz w:val="10"/>
                <w:szCs w:val="10"/>
              </w:rPr>
            </w:r>
          </w:p>
        </w:tc>
      </w:tr>
    </w:tbl>
    <w:p>
      <w:pPr>
        <w:pStyle w:val="NormalWeb"/>
        <w:spacing w:before="280" w:afterAutospacing="0" w:after="0"/>
        <w:rPr>
          <w:sz w:val="12"/>
          <w:szCs w:val="12"/>
        </w:rPr>
      </w:pPr>
      <w:r>
        <w:rPr>
          <w:sz w:val="12"/>
          <w:szCs w:val="12"/>
        </w:rPr>
        <w:t>ПЛАН-ГРАФИК</w:t>
      </w:r>
    </w:p>
    <w:p>
      <w:pPr>
        <w:pStyle w:val="NormalWeb"/>
        <w:spacing w:beforeAutospacing="0" w:before="0" w:afterAutospacing="0" w:after="0"/>
        <w:rPr>
          <w:sz w:val="12"/>
          <w:szCs w:val="12"/>
        </w:rPr>
      </w:pPr>
      <w:r>
        <w:rPr>
          <w:sz w:val="12"/>
          <w:szCs w:val="12"/>
        </w:rPr>
        <w:t>закупок товаров, работ, услуг на 20__ финансовый год</w:t>
      </w:r>
    </w:p>
    <w:p>
      <w:pPr>
        <w:pStyle w:val="NormalWeb"/>
        <w:spacing w:beforeAutospacing="0" w:before="0" w:afterAutospacing="0" w:after="0"/>
        <w:rPr>
          <w:sz w:val="12"/>
          <w:szCs w:val="12"/>
        </w:rPr>
      </w:pPr>
      <w:r>
        <w:rPr>
          <w:sz w:val="12"/>
          <w:szCs w:val="12"/>
        </w:rPr>
        <w:t>и на плановый период 20__ и 20__ годов (в части закупок,</w:t>
      </w:r>
    </w:p>
    <w:p>
      <w:pPr>
        <w:pStyle w:val="NormalWeb"/>
        <w:spacing w:beforeAutospacing="0" w:before="0" w:afterAutospacing="0" w:after="0"/>
        <w:rPr>
          <w:sz w:val="12"/>
          <w:szCs w:val="12"/>
        </w:rPr>
      </w:pPr>
      <w:r>
        <w:rPr>
          <w:sz w:val="12"/>
          <w:szCs w:val="12"/>
        </w:rPr>
        <w:t>предусмотренных пунктом 1 части 2 статьи 84 Федерального</w:t>
      </w:r>
    </w:p>
    <w:p>
      <w:pPr>
        <w:pStyle w:val="NormalWeb"/>
        <w:spacing w:beforeAutospacing="0" w:before="0" w:afterAutospacing="0" w:after="0"/>
        <w:rPr>
          <w:sz w:val="12"/>
          <w:szCs w:val="12"/>
        </w:rPr>
      </w:pPr>
      <w:r>
        <w:rPr>
          <w:sz w:val="12"/>
          <w:szCs w:val="12"/>
        </w:rPr>
        <w:t>закона "О контрактной системе в сфере закупок товаров,</w:t>
      </w:r>
    </w:p>
    <w:p>
      <w:pPr>
        <w:pStyle w:val="NormalWeb"/>
        <w:spacing w:beforeAutospacing="0" w:before="0" w:afterAutospacing="0" w:after="0"/>
        <w:rPr>
          <w:sz w:val="12"/>
          <w:szCs w:val="12"/>
        </w:rPr>
      </w:pPr>
      <w:r>
        <w:rPr>
          <w:sz w:val="12"/>
          <w:szCs w:val="12"/>
        </w:rPr>
        <w:t>работ, услуг для обеспечения государственных</w:t>
      </w:r>
    </w:p>
    <w:p>
      <w:pPr>
        <w:pStyle w:val="NormalWeb"/>
        <w:spacing w:beforeAutospacing="0" w:before="0" w:afterAutospacing="0" w:after="240"/>
        <w:rPr>
          <w:sz w:val="12"/>
          <w:szCs w:val="12"/>
        </w:rPr>
      </w:pPr>
      <w:r>
        <w:rPr>
          <w:sz w:val="12"/>
          <w:szCs w:val="12"/>
        </w:rPr>
        <w:t>и муниципальных нужд" &lt;1&gt;)</w:t>
      </w:r>
    </w:p>
    <w:p>
      <w:pPr>
        <w:pStyle w:val="NormalWeb"/>
        <w:spacing w:beforeAutospacing="0" w:before="0" w:afterAutospacing="0" w:after="0"/>
        <w:rPr>
          <w:sz w:val="12"/>
          <w:szCs w:val="12"/>
        </w:rPr>
      </w:pPr>
      <w:r>
        <w:rPr>
          <w:sz w:val="12"/>
          <w:szCs w:val="12"/>
        </w:rPr>
        <w:t>1. Информация о заказчике:</w:t>
      </w:r>
    </w:p>
    <w:tbl>
      <w:tblPr>
        <w:tblW w:w="5000" w:type="pct"/>
        <w:jc w:val="left"/>
        <w:tblInd w:w="0" w:type="dxa"/>
        <w:tblBorders/>
        <w:tblCellMar>
          <w:top w:w="75" w:type="dxa"/>
          <w:left w:w="150" w:type="dxa"/>
          <w:bottom w:w="75" w:type="dxa"/>
          <w:right w:w="150" w:type="dxa"/>
        </w:tblCellMar>
        <w:tblLook w:firstRow="1" w:noVBand="1" w:lastRow="0" w:firstColumn="1" w:lastColumn="0" w:noHBand="0" w:val="04a0"/>
      </w:tblPr>
      <w:tblGrid>
        <w:gridCol w:w="13074"/>
        <w:gridCol w:w="504"/>
        <w:gridCol w:w="941"/>
        <w:gridCol w:w="616"/>
      </w:tblGrid>
      <w:tr>
        <w:trPr/>
        <w:tc>
          <w:tcPr>
            <w:tcW w:w="13074" w:type="dxa"/>
            <w:tcBorders/>
            <w:shd w:fill="auto" w:val="clear"/>
            <w:vAlign w:val="center"/>
          </w:tcPr>
          <w:p>
            <w:pPr>
              <w:pStyle w:val="Normal"/>
              <w:rPr>
                <w:rFonts w:eastAsia="Times New Roman"/>
                <w:sz w:val="12"/>
                <w:szCs w:val="12"/>
              </w:rPr>
            </w:pPr>
            <w:r>
              <w:rPr>
                <w:rFonts w:eastAsia="Times New Roman"/>
                <w:sz w:val="12"/>
                <w:szCs w:val="12"/>
              </w:rPr>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Коды</w:t>
            </w:r>
          </w:p>
        </w:tc>
      </w:tr>
      <w:tr>
        <w:trPr/>
        <w:tc>
          <w:tcPr>
            <w:tcW w:w="13074" w:type="dxa"/>
            <w:tcBorders/>
            <w:shd w:fill="auto" w:val="clear"/>
            <w:vAlign w:val="center"/>
          </w:tcPr>
          <w:p>
            <w:pPr>
              <w:pStyle w:val="NormalWeb"/>
              <w:spacing w:beforeAutospacing="0" w:before="0" w:afterAutospacing="0" w:after="0"/>
              <w:rPr>
                <w:sz w:val="12"/>
                <w:szCs w:val="12"/>
              </w:rPr>
            </w:pPr>
            <w:r>
              <w:rPr>
                <w:sz w:val="12"/>
                <w:szCs w:val="12"/>
              </w:rPr>
              <w:t>полное наименование</w:t>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
              <w:rPr>
                <w:rFonts w:eastAsia="Times New Roman"/>
                <w:sz w:val="12"/>
                <w:szCs w:val="12"/>
              </w:rPr>
            </w:pPr>
            <w:r>
              <w:rPr>
                <w:rFonts w:eastAsia="Times New Roman"/>
                <w:sz w:val="12"/>
                <w:szCs w:val="12"/>
              </w:rPr>
            </w:r>
          </w:p>
        </w:tc>
        <w:tc>
          <w:tcPr>
            <w:tcW w:w="504" w:type="dxa"/>
            <w:tcBorders>
              <w:bottom w:val="single" w:sz="6" w:space="0" w:color="000000"/>
              <w:insideH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1" w:afterAutospacing="1"/>
              <w:rPr>
                <w:sz w:val="12"/>
                <w:szCs w:val="12"/>
              </w:rPr>
            </w:pPr>
            <w:r>
              <w:rPr>
                <w:sz w:val="12"/>
                <w:szCs w:val="12"/>
              </w:rPr>
              <w:t>организационно-правовая форма</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ОКОПФ</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1" w:afterAutospacing="1"/>
              <w:rPr>
                <w:sz w:val="12"/>
                <w:szCs w:val="12"/>
              </w:rPr>
            </w:pPr>
            <w:r>
              <w:rPr>
                <w:sz w:val="12"/>
                <w:szCs w:val="12"/>
              </w:rPr>
              <w:t>форма собственности</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ОКФС</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0" w:afterAutospacing="0" w:after="0"/>
              <w:rPr>
                <w:sz w:val="12"/>
                <w:szCs w:val="12"/>
              </w:rPr>
            </w:pPr>
            <w:r>
              <w:rPr>
                <w:sz w:val="12"/>
                <w:szCs w:val="12"/>
              </w:rPr>
              <w:t>место нахождения, телефон, адрес электронной почты</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vMerge w:val="restart"/>
            <w:tcBorders/>
            <w:shd w:fill="auto" w:val="clear"/>
            <w:vAlign w:val="center"/>
          </w:tcPr>
          <w:p>
            <w:pPr>
              <w:pStyle w:val="NormalWeb"/>
              <w:spacing w:beforeAutospacing="0" w:before="0" w:afterAutospacing="0" w:after="0"/>
              <w:rPr>
                <w:sz w:val="12"/>
                <w:szCs w:val="12"/>
              </w:rPr>
            </w:pPr>
            <w:r>
              <w:rPr>
                <w:sz w:val="12"/>
                <w:szCs w:val="12"/>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&lt;2&gt;</w:t>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vMerge w:val="continue"/>
            <w:tcBorders/>
            <w:shd w:fill="auto" w:val="clear"/>
            <w:vAlign w:val="center"/>
          </w:tcPr>
          <w:p>
            <w:pPr>
              <w:pStyle w:val="Normal"/>
              <w:rPr>
                <w:sz w:val="12"/>
                <w:szCs w:val="12"/>
              </w:rPr>
            </w:pPr>
            <w:r>
              <w:rPr>
                <w:sz w:val="12"/>
                <w:szCs w:val="12"/>
              </w:rPr>
            </w:r>
          </w:p>
        </w:tc>
        <w:tc>
          <w:tcPr>
            <w:tcW w:w="504" w:type="dxa"/>
            <w:tcBorders>
              <w:bottom w:val="single" w:sz="6" w:space="0" w:color="000000"/>
              <w:insideH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0" w:afterAutospacing="0" w:after="0"/>
              <w:rPr>
                <w:sz w:val="12"/>
                <w:szCs w:val="12"/>
              </w:rPr>
            </w:pPr>
            <w:r>
              <w:rPr>
                <w:sz w:val="12"/>
                <w:szCs w:val="12"/>
              </w:rPr>
              <w:t>место нахождения, телефон, адрес электронной почты &lt;3&gt;</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0" w:afterAutospacing="0" w:after="0"/>
              <w:rPr>
                <w:sz w:val="12"/>
                <w:szCs w:val="12"/>
              </w:rPr>
            </w:pPr>
            <w:r>
              <w:rPr>
                <w:sz w:val="12"/>
                <w:szCs w:val="12"/>
              </w:rPr>
              <w:t>единица измерения</w:t>
            </w:r>
          </w:p>
        </w:tc>
        <w:tc>
          <w:tcPr>
            <w:tcW w:w="504" w:type="dxa"/>
            <w:tcBorders>
              <w:top w:val="single" w:sz="6" w:space="0" w:color="000000"/>
            </w:tcBorders>
            <w:shd w:fill="auto" w:val="clear"/>
            <w:tcMar>
              <w:top w:w="90" w:type="dxa"/>
              <w:left w:w="90" w:type="dxa"/>
              <w:bottom w:w="90" w:type="dxa"/>
              <w:right w:w="90" w:type="dxa"/>
            </w:tcMar>
            <w:vAlign w:val="center"/>
          </w:tcPr>
          <w:p>
            <w:pPr>
              <w:pStyle w:val="NormalWeb"/>
              <w:spacing w:beforeAutospacing="1" w:afterAutospacing="1"/>
              <w:rPr>
                <w:sz w:val="12"/>
                <w:szCs w:val="12"/>
              </w:rPr>
            </w:pPr>
            <w:r>
              <w:rPr>
                <w:sz w:val="12"/>
                <w:szCs w:val="12"/>
              </w:rPr>
              <w:t>рубль</w:t>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ОКЕИ</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383</w:t>
            </w:r>
          </w:p>
        </w:tc>
      </w:tr>
    </w:tbl>
    <w:p>
      <w:pPr>
        <w:pStyle w:val="NormalWeb"/>
        <w:spacing w:before="280" w:afterAutospacing="0" w:after="0"/>
        <w:rPr>
          <w:sz w:val="12"/>
          <w:szCs w:val="12"/>
        </w:rPr>
      </w:pPr>
      <w:r>
        <w:rPr>
          <w:sz w:val="12"/>
          <w:szCs w:val="12"/>
        </w:rPr>
        <w:t>2. Информация о закупках товаров, работ, услуг на 20__ финансовый год и на</w:t>
      </w:r>
    </w:p>
    <w:p>
      <w:pPr>
        <w:pStyle w:val="NormalWeb"/>
        <w:spacing w:beforeAutospacing="0" w:before="0" w:afterAutospacing="0" w:after="0"/>
        <w:rPr>
          <w:sz w:val="12"/>
          <w:szCs w:val="12"/>
        </w:rPr>
      </w:pPr>
      <w:r>
        <w:rPr>
          <w:sz w:val="12"/>
          <w:szCs w:val="12"/>
        </w:rPr>
        <w:t>плановый период 20__ и 20__ годов</w:t>
      </w:r>
    </w:p>
    <w:tbl>
      <w:tblPr>
        <w:tblW w:w="5000" w:type="pct"/>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150" w:type="dxa"/>
          <w:bottom w:w="75" w:type="dxa"/>
          <w:right w:w="150" w:type="dxa"/>
        </w:tblCellMar>
        <w:tblLook w:firstRow="1" w:noVBand="1" w:lastRow="0" w:firstColumn="1" w:lastColumn="0" w:noHBand="0" w:val="04a0"/>
      </w:tblPr>
      <w:tblGrid>
        <w:gridCol w:w="466"/>
        <w:gridCol w:w="1425"/>
        <w:gridCol w:w="671"/>
        <w:gridCol w:w="1400"/>
        <w:gridCol w:w="1"/>
        <w:gridCol w:w="1102"/>
        <w:gridCol w:w="2"/>
        <w:gridCol w:w="2125"/>
        <w:gridCol w:w="1"/>
        <w:gridCol w:w="561"/>
        <w:gridCol w:w="1"/>
        <w:gridCol w:w="991"/>
        <w:gridCol w:w="2"/>
        <w:gridCol w:w="696"/>
        <w:gridCol w:w="671"/>
        <w:gridCol w:w="1"/>
        <w:gridCol w:w="1016"/>
        <w:gridCol w:w="1"/>
        <w:gridCol w:w="1340"/>
        <w:gridCol w:w="1"/>
        <w:gridCol w:w="1354"/>
        <w:gridCol w:w="1"/>
        <w:gridCol w:w="1306"/>
      </w:tblGrid>
      <w:tr>
        <w:trPr/>
        <w:tc>
          <w:tcPr>
            <w:tcW w:w="466"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 xml:space="preserve">№ </w:t>
            </w:r>
            <w:r>
              <w:rPr>
                <w:sz w:val="12"/>
                <w:szCs w:val="12"/>
              </w:rPr>
              <w:t>п/п</w:t>
            </w:r>
          </w:p>
        </w:tc>
        <w:tc>
          <w:tcPr>
            <w:tcW w:w="1425"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Идентификационный код закупки</w:t>
            </w:r>
          </w:p>
        </w:tc>
        <w:tc>
          <w:tcPr>
            <w:tcW w:w="3176"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Объект закупки</w:t>
            </w:r>
          </w:p>
        </w:tc>
        <w:tc>
          <w:tcPr>
            <w:tcW w:w="2126"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939" w:type="dxa"/>
            <w:gridSpan w:val="8"/>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Объем финансового обеспечения, в том числе планируемые платежи</w:t>
            </w:r>
          </w:p>
        </w:tc>
        <w:tc>
          <w:tcPr>
            <w:tcW w:w="1341"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Информация о проведении обязательного общественного обсуждения закупки</w:t>
            </w:r>
          </w:p>
        </w:tc>
        <w:tc>
          <w:tcPr>
            <w:tcW w:w="1355"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уполномоченного органа (учреждения)</w:t>
            </w:r>
          </w:p>
        </w:tc>
        <w:tc>
          <w:tcPr>
            <w:tcW w:w="1307"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организатора проведения совместного конкурса или аукциона</w:t>
            </w:r>
          </w:p>
        </w:tc>
      </w:tr>
      <w:tr>
        <w:trPr/>
        <w:tc>
          <w:tcPr>
            <w:tcW w:w="466"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1425"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207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Товар, работа, услуга по Общероссийскому классификатору продукции по видам экономической деятельности ОК 034-2014 (КПЕС 2008) (ОКПД2)</w:t>
            </w:r>
          </w:p>
        </w:tc>
        <w:tc>
          <w:tcPr>
            <w:tcW w:w="1103"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объекта закупки</w:t>
            </w:r>
          </w:p>
        </w:tc>
        <w:tc>
          <w:tcPr>
            <w:tcW w:w="2127"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562"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всего</w:t>
            </w:r>
          </w:p>
        </w:tc>
        <w:tc>
          <w:tcPr>
            <w:tcW w:w="992"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текущий финансовый год</w:t>
            </w:r>
          </w:p>
        </w:tc>
        <w:tc>
          <w:tcPr>
            <w:tcW w:w="1369"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плановый период</w:t>
            </w:r>
          </w:p>
        </w:tc>
        <w:tc>
          <w:tcPr>
            <w:tcW w:w="1017"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последующие годы</w:t>
            </w:r>
          </w:p>
        </w:tc>
        <w:tc>
          <w:tcPr>
            <w:tcW w:w="1341"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55"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07"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r>
      <w:tr>
        <w:trPr/>
        <w:tc>
          <w:tcPr>
            <w:tcW w:w="466"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1425"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67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Код</w:t>
            </w:r>
          </w:p>
        </w:tc>
        <w:tc>
          <w:tcPr>
            <w:tcW w:w="140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w:t>
            </w:r>
          </w:p>
        </w:tc>
        <w:tc>
          <w:tcPr>
            <w:tcW w:w="1104"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2126"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562"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993"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6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первый год</w:t>
            </w:r>
          </w:p>
        </w:tc>
        <w:tc>
          <w:tcPr>
            <w:tcW w:w="67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второй год</w:t>
            </w:r>
          </w:p>
        </w:tc>
        <w:tc>
          <w:tcPr>
            <w:tcW w:w="1017"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41"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55"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06"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r>
      <w:tr>
        <w:trPr>
          <w:trHeight w:val="43" w:hRule="atLeast"/>
        </w:trPr>
        <w:tc>
          <w:tcPr>
            <w:tcW w:w="4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w:t>
            </w:r>
          </w:p>
        </w:tc>
        <w:tc>
          <w:tcPr>
            <w:tcW w:w="14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2</w:t>
            </w:r>
          </w:p>
        </w:tc>
        <w:tc>
          <w:tcPr>
            <w:tcW w:w="67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3</w:t>
            </w:r>
          </w:p>
        </w:tc>
        <w:tc>
          <w:tcPr>
            <w:tcW w:w="140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4</w:t>
            </w:r>
          </w:p>
        </w:tc>
        <w:tc>
          <w:tcPr>
            <w:tcW w:w="11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5</w:t>
            </w:r>
          </w:p>
        </w:tc>
        <w:tc>
          <w:tcPr>
            <w:tcW w:w="212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6</w:t>
            </w:r>
          </w:p>
        </w:tc>
        <w:tc>
          <w:tcPr>
            <w:tcW w:w="56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7</w:t>
            </w:r>
          </w:p>
        </w:tc>
        <w:tc>
          <w:tcPr>
            <w:tcW w:w="99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8</w:t>
            </w:r>
          </w:p>
        </w:tc>
        <w:tc>
          <w:tcPr>
            <w:tcW w:w="6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9</w:t>
            </w:r>
          </w:p>
        </w:tc>
        <w:tc>
          <w:tcPr>
            <w:tcW w:w="67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10</w:t>
            </w:r>
          </w:p>
        </w:tc>
        <w:tc>
          <w:tcPr>
            <w:tcW w:w="101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11</w:t>
            </w:r>
          </w:p>
        </w:tc>
        <w:tc>
          <w:tcPr>
            <w:tcW w:w="134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12</w:t>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13</w:t>
            </w:r>
          </w:p>
        </w:tc>
        <w:tc>
          <w:tcPr>
            <w:tcW w:w="130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14</w:t>
            </w:r>
          </w:p>
        </w:tc>
      </w:tr>
      <w:tr>
        <w:trPr>
          <w:trHeight w:val="120" w:hRule="exact"/>
        </w:trPr>
        <w:tc>
          <w:tcPr>
            <w:tcW w:w="4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4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40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1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212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56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9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01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4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0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7193" w:type="dxa"/>
            <w:gridSpan w:val="9"/>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Всего для осуществления закупок,</w:t>
              <w:br/>
              <w:t>в том числе по коду бюджетной классификации ___/</w:t>
              <w:br/>
              <w:t>по соглашению от ____ N ____/по коду вида расходов ____</w:t>
            </w:r>
          </w:p>
        </w:tc>
        <w:tc>
          <w:tcPr>
            <w:tcW w:w="56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9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01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41"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c>
          <w:tcPr>
            <w:tcW w:w="130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r>
    </w:tbl>
    <w:p>
      <w:pPr>
        <w:pStyle w:val="NormalWeb"/>
        <w:spacing w:before="280" w:afterAutospacing="0" w:after="0"/>
        <w:jc w:val="both"/>
        <w:rPr/>
      </w:pPr>
      <w:r>
        <w:rPr>
          <w:sz w:val="14"/>
          <w:szCs w:val="14"/>
        </w:rPr>
        <w:t>&lt;1&gt; Указывается в случае, предусмотренном пунктом 20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Верхнее Санчелеево муниципального района Ставропольский Самарской области утвержденного постановлением администрации сельского поселения Верхнее Санчелеево муниципального района Ставропольский Самарской области от «</w:t>
      </w:r>
      <w:r>
        <w:rPr>
          <w:sz w:val="14"/>
          <w:szCs w:val="14"/>
        </w:rPr>
        <w:t>_____</w:t>
      </w:r>
      <w:r>
        <w:rPr>
          <w:sz w:val="14"/>
          <w:szCs w:val="14"/>
        </w:rPr>
        <w:t>» ____ 202</w:t>
      </w:r>
      <w:r>
        <w:rPr>
          <w:sz w:val="14"/>
          <w:szCs w:val="14"/>
        </w:rPr>
        <w:t>3</w:t>
      </w:r>
      <w:r>
        <w:rPr>
          <w:sz w:val="14"/>
          <w:szCs w:val="14"/>
        </w:rPr>
        <w:t xml:space="preserve"> года № ____.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Верхнее Санчелеево муниципального района Ставропольский Самарской области (далее - Порядок)».</w:t>
      </w:r>
    </w:p>
    <w:sectPr>
      <w:type w:val="nextPage"/>
      <w:pgSz w:orient="landscape" w:w="16838" w:h="11906"/>
      <w:pgMar w:left="851" w:right="851" w:header="0" w:top="284"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onsolas">
    <w:charset w:val="cc"/>
    <w:family w:val="roman"/>
    <w:pitch w:val="variable"/>
  </w:font>
  <w:font w:name="Helvetica">
    <w:altName w:val="Arial"/>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s>
</file>

<file path=word/settings.xml><?xml version="1.0" encoding="utf-8"?>
<w:settings xmlns:w="http://schemas.openxmlformats.org/wordprocessingml/2006/main">
  <w:zoom w:percent="120"/>
  <w:defaultTabStop w:val="709"/>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eastAsia="" w:eastAsiaTheme="minorEastAsia" w:ascii="Times New Roman" w:hAnsi="Times New Roman" w:cs="Times New Roman"/>
      <w:color w:val="auto"/>
      <w:kern w:val="0"/>
      <w:sz w:val="24"/>
      <w:szCs w:val="24"/>
      <w:lang w:val="ru-RU" w:eastAsia="ru-RU" w:bidi="ar-SA"/>
    </w:rPr>
  </w:style>
  <w:style w:type="paragraph" w:styleId="1">
    <w:name w:val="Heading 1"/>
    <w:basedOn w:val="Normal"/>
    <w:link w:val="10"/>
    <w:uiPriority w:val="9"/>
    <w:qFormat/>
    <w:pPr>
      <w:spacing w:beforeAutospacing="1" w:afterAutospacing="1"/>
      <w:outlineLvl w:val="0"/>
    </w:pPr>
    <w:rPr>
      <w:b/>
      <w:bCs/>
      <w:kern w:val="2"/>
      <w:sz w:val="48"/>
      <w:szCs w:val="48"/>
    </w:rPr>
  </w:style>
  <w:style w:type="paragraph" w:styleId="2">
    <w:name w:val="Heading 2"/>
    <w:basedOn w:val="Normal"/>
    <w:link w:val="20"/>
    <w:uiPriority w:val="9"/>
    <w:qFormat/>
    <w:pPr>
      <w:spacing w:beforeAutospacing="1" w:afterAutospacing="1"/>
      <w:outlineLvl w:val="1"/>
    </w:pPr>
    <w:rPr>
      <w:b/>
      <w:bCs/>
      <w:sz w:val="36"/>
      <w:szCs w:val="3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Pr>
      <w:rFonts w:ascii="Cambria" w:hAnsi="Cambria" w:eastAsia="" w:cs="" w:asciiTheme="majorHAnsi" w:cstheme="majorBidi" w:eastAsiaTheme="majorEastAsia" w:hAnsiTheme="majorHAnsi"/>
      <w:b/>
      <w:bCs/>
      <w:color w:val="365F91" w:themeColor="accent1" w:themeShade="bf"/>
      <w:sz w:val="28"/>
      <w:szCs w:val="28"/>
    </w:rPr>
  </w:style>
  <w:style w:type="character" w:styleId="HTML" w:customStyle="1">
    <w:name w:val="Стандартный HTML Знак"/>
    <w:basedOn w:val="DefaultParagraphFont"/>
    <w:link w:val="HTML"/>
    <w:uiPriority w:val="99"/>
    <w:semiHidden/>
    <w:qFormat/>
    <w:rPr>
      <w:rFonts w:ascii="Consolas" w:hAnsi="Consolas" w:eastAsia="" w:eastAsiaTheme="minorEastAsia"/>
    </w:rPr>
  </w:style>
  <w:style w:type="character" w:styleId="Docreferences" w:customStyle="1">
    <w:name w:val="doc__references"/>
    <w:basedOn w:val="DefaultParagraphFont"/>
    <w:qFormat/>
    <w:rPr>
      <w:vanish w:val="false"/>
    </w:rPr>
  </w:style>
  <w:style w:type="character" w:styleId="Storno" w:customStyle="1">
    <w:name w:val="storno"/>
    <w:basedOn w:val="DefaultParagraphFont"/>
    <w:qFormat/>
    <w:rPr>
      <w:bdr w:val="single" w:sz="6" w:space="0" w:color="000000"/>
    </w:rPr>
  </w:style>
  <w:style w:type="character" w:styleId="Incutheadcontrol" w:customStyle="1">
    <w:name w:val="incut-head-control"/>
    <w:basedOn w:val="DefaultParagraphFont"/>
    <w:qFormat/>
    <w:rPr>
      <w:rFonts w:ascii="Helvetica" w:hAnsi="Helvetica" w:cs="Helvetica"/>
      <w:b/>
      <w:bCs/>
      <w:sz w:val="21"/>
      <w:szCs w:val="21"/>
    </w:rPr>
  </w:style>
  <w:style w:type="character" w:styleId="21" w:customStyle="1">
    <w:name w:val="Заголовок 2 Знак"/>
    <w:basedOn w:val="DefaultParagraphFont"/>
    <w:link w:val="2"/>
    <w:uiPriority w:val="9"/>
    <w:semiHidden/>
    <w:qFormat/>
    <w:rPr>
      <w:rFonts w:ascii="Cambria" w:hAnsi="Cambria" w:eastAsia="" w:cs="" w:asciiTheme="majorHAnsi" w:cstheme="majorBidi" w:eastAsiaTheme="majorEastAsia" w:hAnsiTheme="majorHAnsi"/>
      <w:b/>
      <w:bCs/>
      <w:color w:val="4F81BD" w:themeColor="accent1"/>
      <w:sz w:val="26"/>
      <w:szCs w:val="26"/>
    </w:rPr>
  </w:style>
  <w:style w:type="character" w:styleId="Style12">
    <w:name w:val="Интернет-ссылка"/>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3" w:customStyle="1">
    <w:name w:val="Текст выноски Знак"/>
    <w:basedOn w:val="DefaultParagraphFont"/>
    <w:link w:val="a6"/>
    <w:uiPriority w:val="99"/>
    <w:semiHidden/>
    <w:qFormat/>
    <w:rsid w:val="00c15902"/>
    <w:rPr>
      <w:rFonts w:ascii="Tahoma" w:hAnsi="Tahoma" w:eastAsia="" w:cs="Tahoma" w:eastAsiaTheme="minorEastAsia"/>
      <w:sz w:val="16"/>
      <w:szCs w:val="16"/>
    </w:rPr>
  </w:style>
  <w:style w:type="character" w:styleId="ListLabel1">
    <w:name w:val="ListLabel 1"/>
    <w:qFormat/>
    <w:rPr>
      <w:sz w:val="22"/>
      <w:szCs w:val="22"/>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HTMLPreformatted">
    <w:name w:val="HTML Preformatted"/>
    <w:basedOn w:val="Normal"/>
    <w:link w:val="HTML0"/>
    <w:uiPriority w:val="99"/>
    <w:semiHidden/>
    <w:unhideWhenUse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w:hAnsi="Arial" w:cs="Arial"/>
      <w:sz w:val="20"/>
      <w:szCs w:val="20"/>
    </w:rPr>
  </w:style>
  <w:style w:type="paragraph" w:styleId="Contentblock" w:customStyle="1">
    <w:name w:val="content_block"/>
    <w:basedOn w:val="Normal"/>
    <w:qFormat/>
    <w:pPr>
      <w:spacing w:beforeAutospacing="1" w:afterAutospacing="1"/>
      <w:ind w:right="357" w:hanging="0"/>
    </w:pPr>
    <w:rPr/>
  </w:style>
  <w:style w:type="paragraph" w:styleId="References" w:customStyle="1">
    <w:name w:val="references"/>
    <w:basedOn w:val="Normal"/>
    <w:qFormat/>
    <w:pPr>
      <w:spacing w:beforeAutospacing="1" w:afterAutospacing="1"/>
    </w:pPr>
    <w:rPr>
      <w:vanish/>
    </w:rPr>
  </w:style>
  <w:style w:type="paragraph" w:styleId="12" w:customStyle="1">
    <w:name w:val="Нижний колонтитул1"/>
    <w:basedOn w:val="Normal"/>
    <w:qFormat/>
    <w:pPr>
      <w:spacing w:before="750" w:after="0"/>
    </w:pPr>
    <w:rPr>
      <w:rFonts w:ascii="Arial" w:hAnsi="Arial" w:cs="Arial"/>
      <w:sz w:val="20"/>
      <w:szCs w:val="20"/>
    </w:rPr>
  </w:style>
  <w:style w:type="paragraph" w:styleId="Content" w:customStyle="1">
    <w:name w:val="content"/>
    <w:basedOn w:val="Normal"/>
    <w:qFormat/>
    <w:pPr>
      <w:spacing w:beforeAutospacing="1" w:afterAutospacing="1"/>
    </w:pPr>
    <w:rPr/>
  </w:style>
  <w:style w:type="paragraph" w:styleId="Content1" w:customStyle="1">
    <w:name w:val="content1"/>
    <w:basedOn w:val="Normal"/>
    <w:qFormat/>
    <w:pPr>
      <w:spacing w:beforeAutospacing="1" w:afterAutospacing="1"/>
    </w:pPr>
    <w:rPr>
      <w:sz w:val="21"/>
      <w:szCs w:val="21"/>
    </w:rPr>
  </w:style>
  <w:style w:type="paragraph" w:styleId="Doctooltip" w:customStyle="1">
    <w:name w:val="doc-tooltip"/>
    <w:basedOn w:val="Normal"/>
    <w:qFormat/>
    <w:pPr>
      <w:spacing w:beforeAutospacing="1" w:afterAutospacing="1"/>
    </w:pPr>
    <w:rPr>
      <w:vanish/>
    </w:rPr>
  </w:style>
  <w:style w:type="paragraph" w:styleId="Docnotes" w:customStyle="1">
    <w:name w:val="doc-notes"/>
    <w:basedOn w:val="Normal"/>
    <w:qFormat/>
    <w:pPr>
      <w:spacing w:beforeAutospacing="1" w:afterAutospacing="1"/>
    </w:pPr>
    <w:rPr>
      <w:vanish/>
    </w:rPr>
  </w:style>
  <w:style w:type="paragraph" w:styleId="Doccolumnsitemtitlecalendar" w:customStyle="1">
    <w:name w:val="doc-columns__item-title-calendar"/>
    <w:basedOn w:val="Normal"/>
    <w:qFormat/>
    <w:pPr>
      <w:spacing w:beforeAutospacing="1" w:afterAutospacing="1"/>
    </w:pPr>
    <w:rPr>
      <w:rFonts w:ascii="Arial" w:hAnsi="Arial" w:cs="Arial"/>
      <w:b/>
      <w:bCs/>
      <w:color w:val="666666"/>
      <w:sz w:val="21"/>
      <w:szCs w:val="21"/>
    </w:rPr>
  </w:style>
  <w:style w:type="paragraph" w:styleId="Doccolumnsitemtitlecalendarholiday" w:customStyle="1">
    <w:name w:val="doc-columns__item-title-calendar-holiday"/>
    <w:basedOn w:val="Normal"/>
    <w:qFormat/>
    <w:pPr>
      <w:spacing w:beforeAutospacing="1" w:afterAutospacing="1"/>
    </w:pPr>
    <w:rPr>
      <w:rFonts w:ascii="Arial" w:hAnsi="Arial" w:cs="Arial"/>
      <w:b/>
      <w:bCs/>
      <w:color w:val="FF3333"/>
      <w:sz w:val="21"/>
      <w:szCs w:val="21"/>
    </w:rPr>
  </w:style>
  <w:style w:type="paragraph" w:styleId="Doccolumnsitemtextpress" w:customStyle="1">
    <w:name w:val="doc-columns__item-text-press"/>
    <w:basedOn w:val="Normal"/>
    <w:qFormat/>
    <w:pPr>
      <w:spacing w:before="60" w:after="180"/>
    </w:pPr>
    <w:rPr/>
  </w:style>
  <w:style w:type="paragraph" w:styleId="Content2" w:customStyle="1">
    <w:name w:val="content2"/>
    <w:basedOn w:val="Normal"/>
    <w:qFormat/>
    <w:pPr>
      <w:spacing w:beforeAutospacing="1" w:afterAutospacing="1"/>
    </w:pPr>
    <w:rPr>
      <w:sz w:val="21"/>
      <w:szCs w:val="21"/>
    </w:rPr>
  </w:style>
  <w:style w:type="paragraph" w:styleId="Printredactionline" w:customStyle="1">
    <w:name w:val="print_redaction-line"/>
    <w:basedOn w:val="Normal"/>
    <w:qFormat/>
    <w:pPr>
      <w:spacing w:beforeAutospacing="1" w:afterAutospacing="1"/>
    </w:pPr>
    <w:rPr/>
  </w:style>
  <w:style w:type="paragraph" w:styleId="NormalWeb">
    <w:name w:val="Normal (Web)"/>
    <w:basedOn w:val="Normal"/>
    <w:uiPriority w:val="99"/>
    <w:unhideWhenUsed/>
    <w:qFormat/>
    <w:pPr>
      <w:spacing w:beforeAutospacing="1" w:afterAutospacing="1"/>
    </w:pPr>
    <w:rPr/>
  </w:style>
  <w:style w:type="paragraph" w:styleId="Alignright" w:customStyle="1">
    <w:name w:val="align-right"/>
    <w:basedOn w:val="Normal"/>
    <w:qFormat/>
    <w:pPr>
      <w:spacing w:beforeAutospacing="1" w:afterAutospacing="1"/>
    </w:pPr>
    <w:rPr/>
  </w:style>
  <w:style w:type="paragraph" w:styleId="Aligncenter" w:customStyle="1">
    <w:name w:val="align-center"/>
    <w:basedOn w:val="Normal"/>
    <w:qFormat/>
    <w:pPr>
      <w:spacing w:beforeAutospacing="1" w:afterAutospacing="1"/>
    </w:pPr>
    <w:rPr/>
  </w:style>
  <w:style w:type="paragraph" w:styleId="BalloonText">
    <w:name w:val="Balloon Text"/>
    <w:basedOn w:val="Normal"/>
    <w:link w:val="a7"/>
    <w:uiPriority w:val="99"/>
    <w:semiHidden/>
    <w:unhideWhenUsed/>
    <w:qFormat/>
    <w:rsid w:val="00c15902"/>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8">
    <w:name w:val="Table Grid"/>
    <w:basedOn w:val="a1"/>
    <w:uiPriority w:val="59"/>
    <w:rsid w:val="004a6f5a"/>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Application>LibreOffice/6.1.4.2$Windows_X86_64 LibreOffice_project/9d0f32d1f0b509096fd65e0d4bec26ddd1938fd3</Application>
  <Pages>7</Pages>
  <Words>2232</Words>
  <Characters>16512</Characters>
  <CharactersWithSpaces>18625</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2019-11-22T06:18:00Z</dcterms:created>
  <dc:creator>Бух</dc:creator>
  <dc:description/>
  <dc:language>ru-RU</dc:language>
  <cp:lastModifiedBy/>
  <cp:lastPrinted>2023-01-23T15:49:52Z</cp:lastPrinted>
  <dcterms:modified xsi:type="dcterms:W3CDTF">2023-01-23T18:07:59Z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