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otnotes.xml" ContentType="application/vnd.openxmlformats-officedocument.wordprocessingml.footnotes+xml"/>
  <Override PartName="/word/media/image1.png" ContentType="image/png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1"/>
        <w:spacing w:before="240" w:after="60"/>
        <w:ind w:left="5400" w:hanging="5684"/>
        <w:jc w:val="center"/>
        <w:rPr>
          <w:rFonts w:ascii="Times New Roman" w:hAnsi="Times New Roman"/>
          <w:sz w:val="26"/>
          <w:szCs w:val="26"/>
        </w:rPr>
      </w:pPr>
      <w:r>
        <w:rPr>
          <w:rFonts w:eastAsia="Calibri" w:ascii="Times New Roman" w:hAnsi="Times New Roman"/>
          <w:sz w:val="26"/>
          <w:szCs w:val="26"/>
        </w:rPr>
        <w:t xml:space="preserve">     </w:t>
      </w:r>
      <w:r>
        <w:rPr/>
        <w:drawing>
          <wp:inline distT="0" distB="0" distL="0" distR="0">
            <wp:extent cx="921385" cy="1012825"/>
            <wp:effectExtent l="0" t="0" r="0" b="0"/>
            <wp:docPr id="1" name="Рисунок 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1385" cy="1012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eastAsia="Calibri" w:ascii="Times New Roman" w:hAnsi="Times New Roman"/>
          <w:sz w:val="26"/>
          <w:szCs w:val="26"/>
        </w:rPr>
        <w:t xml:space="preserve">  </w:t>
      </w:r>
    </w:p>
    <w:p>
      <w:pPr>
        <w:pStyle w:val="Normal"/>
        <w:jc w:val="center"/>
        <w:rPr>
          <w:sz w:val="26"/>
          <w:szCs w:val="26"/>
        </w:rPr>
      </w:pPr>
      <w:r>
        <w:rPr>
          <w:sz w:val="26"/>
          <w:szCs w:val="26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>
      <w:pPr>
        <w:pStyle w:val="ConsPlusTitle"/>
        <w:widowControl/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 xml:space="preserve">СОБРАНИЕ ПРЕДСТАВИТЕЛЕЙ СЕЛЬСКОГО ПОСЕЛЕНИЯ </w:t>
      </w:r>
    </w:p>
    <w:p>
      <w:pPr>
        <w:pStyle w:val="ConsPlusTitle"/>
        <w:widowControl/>
        <w:jc w:val="center"/>
        <w:rPr/>
      </w:pPr>
      <w:r>
        <w:rPr>
          <w:rFonts w:cs="Times New Roman" w:ascii="Times New Roman" w:hAnsi="Times New Roman"/>
          <w:sz w:val="26"/>
          <w:szCs w:val="26"/>
        </w:rPr>
        <w:t>ВЕРХНЕЕ САНЧЕЛЕЕВО</w:t>
      </w:r>
      <w:r>
        <w:rPr>
          <w:rFonts w:cs="Times New Roman" w:ascii="Times New Roman" w:hAnsi="Times New Roman"/>
          <w:sz w:val="26"/>
          <w:szCs w:val="26"/>
        </w:rPr>
        <w:t xml:space="preserve"> МУНИЦИПАЛЬНОГО РАЙОНА СТАВРОПОЛЬСКИЙ</w:t>
      </w:r>
    </w:p>
    <w:p>
      <w:pPr>
        <w:pStyle w:val="ConsPlusTitle"/>
        <w:widowControl/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САМАРСКОЙ ОБЛАСТИ</w:t>
      </w:r>
    </w:p>
    <w:p>
      <w:pPr>
        <w:pStyle w:val="ConsPlusTitle"/>
        <w:widowControl/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</w:r>
    </w:p>
    <w:p>
      <w:pPr>
        <w:pStyle w:val="ConsPlusTitle"/>
        <w:widowControl/>
        <w:tabs>
          <w:tab w:val="clear" w:pos="708"/>
          <w:tab w:val="left" w:pos="4020" w:leader="none"/>
          <w:tab w:val="center" w:pos="4960" w:leader="none"/>
        </w:tabs>
        <w:jc w:val="center"/>
        <w:rPr/>
      </w:pPr>
      <w:r>
        <w:rPr>
          <w:rFonts w:cs="Times New Roman" w:ascii="Times New Roman" w:hAnsi="Times New Roman"/>
          <w:sz w:val="26"/>
          <w:szCs w:val="26"/>
        </w:rPr>
        <w:t>ПРОЕКТ_</w:t>
      </w:r>
      <w:r>
        <w:rPr>
          <w:rFonts w:cs="Times New Roman" w:ascii="Times New Roman" w:hAnsi="Times New Roman"/>
          <w:sz w:val="26"/>
          <w:szCs w:val="26"/>
        </w:rPr>
        <w:t xml:space="preserve">РЕШЕНИЕ </w:t>
      </w:r>
    </w:p>
    <w:p>
      <w:pPr>
        <w:pStyle w:val="Normal"/>
        <w:jc w:val="center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</w:r>
    </w:p>
    <w:p>
      <w:pPr>
        <w:pStyle w:val="Normal"/>
        <w:rPr/>
      </w:pPr>
      <w:r>
        <w:rPr>
          <w:sz w:val="28"/>
          <w:szCs w:val="28"/>
        </w:rPr>
        <w:t xml:space="preserve">от </w:t>
      </w:r>
      <w:r>
        <w:rPr>
          <w:sz w:val="28"/>
          <w:szCs w:val="28"/>
        </w:rPr>
        <w:tab/>
        <w:tab/>
        <w:t xml:space="preserve">                                                                                             №  </w:t>
      </w:r>
    </w:p>
    <w:p>
      <w:pPr>
        <w:pStyle w:val="Normal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</w:r>
    </w:p>
    <w:p>
      <w:pPr>
        <w:pStyle w:val="Normal"/>
        <w:shd w:val="clear" w:color="auto" w:fill="FFFFFF"/>
        <w:ind w:firstLine="567"/>
        <w:jc w:val="center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</w:r>
    </w:p>
    <w:p>
      <w:pPr>
        <w:pStyle w:val="Normal"/>
        <w:jc w:val="center"/>
        <w:rPr/>
      </w:pPr>
      <w:r>
        <w:rPr>
          <w:b/>
          <w:bCs/>
          <w:color w:val="000000" w:themeColor="text1"/>
          <w:sz w:val="28"/>
          <w:szCs w:val="28"/>
        </w:rPr>
        <w:t xml:space="preserve">О внесении изменений в решение Собрания представителей сельского поселения Верхнее Санчелеево муниципального района Ставропольский Самарской области от </w:t>
      </w:r>
      <w:r>
        <w:rPr>
          <w:b/>
          <w:bCs/>
          <w:color w:val="000000" w:themeColor="text1"/>
          <w:sz w:val="28"/>
          <w:szCs w:val="28"/>
        </w:rPr>
        <w:t>28</w:t>
      </w:r>
      <w:r>
        <w:rPr>
          <w:b/>
          <w:bCs/>
          <w:color w:val="000000" w:themeColor="text1"/>
          <w:sz w:val="28"/>
          <w:szCs w:val="28"/>
        </w:rPr>
        <w:t>.</w:t>
      </w:r>
      <w:r>
        <w:rPr>
          <w:b/>
          <w:bCs/>
          <w:color w:val="000000" w:themeColor="text1"/>
          <w:sz w:val="28"/>
          <w:szCs w:val="28"/>
        </w:rPr>
        <w:t>04</w:t>
      </w:r>
      <w:r>
        <w:rPr>
          <w:b/>
          <w:bCs/>
          <w:color w:val="000000" w:themeColor="text1"/>
          <w:sz w:val="28"/>
          <w:szCs w:val="28"/>
        </w:rPr>
        <w:t>.202</w:t>
      </w:r>
      <w:r>
        <w:rPr>
          <w:b/>
          <w:bCs/>
          <w:color w:val="000000" w:themeColor="text1"/>
          <w:sz w:val="28"/>
          <w:szCs w:val="28"/>
        </w:rPr>
        <w:t>2</w:t>
      </w:r>
      <w:r>
        <w:rPr>
          <w:b/>
          <w:bCs/>
          <w:color w:val="000000" w:themeColor="text1"/>
          <w:sz w:val="28"/>
          <w:szCs w:val="28"/>
        </w:rPr>
        <w:t xml:space="preserve"> № </w:t>
      </w:r>
      <w:r>
        <w:rPr>
          <w:b/>
          <w:bCs/>
          <w:color w:val="000000" w:themeColor="text1"/>
          <w:sz w:val="28"/>
          <w:szCs w:val="28"/>
        </w:rPr>
        <w:t>70</w:t>
      </w:r>
      <w:r>
        <w:rPr>
          <w:b/>
          <w:bCs/>
          <w:color w:val="000000" w:themeColor="text1"/>
          <w:sz w:val="28"/>
          <w:szCs w:val="28"/>
        </w:rPr>
        <w:t xml:space="preserve"> «</w:t>
      </w:r>
      <w:r>
        <w:rPr>
          <w:b/>
          <w:bCs/>
          <w:color w:val="000000"/>
          <w:sz w:val="28"/>
          <w:szCs w:val="28"/>
        </w:rPr>
        <w:t>Об утверждении Положения о муниципальном контроле в сфере благоустройства на территории</w:t>
      </w:r>
      <w:r>
        <w:rPr>
          <w:b/>
          <w:bCs/>
          <w:color w:val="000000" w:themeColor="text1"/>
          <w:sz w:val="28"/>
          <w:szCs w:val="28"/>
        </w:rPr>
        <w:t xml:space="preserve"> сельского поселения Верхнее Санчелеево муниципального района Ставропольский Самарской области»</w:t>
      </w:r>
    </w:p>
    <w:p>
      <w:pPr>
        <w:pStyle w:val="Normal"/>
        <w:jc w:val="center"/>
        <w:rPr>
          <w:bCs/>
          <w:i/>
          <w:i/>
          <w:color w:val="000000" w:themeColor="text1"/>
        </w:rPr>
      </w:pPr>
      <w:r>
        <w:rPr/>
      </w:r>
    </w:p>
    <w:p>
      <w:pPr>
        <w:pStyle w:val="Normal"/>
        <w:shd w:val="clear" w:color="auto" w:fill="FFFFFF"/>
        <w:ind w:firstLine="567"/>
        <w:rPr>
          <w:b/>
          <w:b/>
          <w:color w:val="000000" w:themeColor="text1"/>
        </w:rPr>
      </w:pPr>
      <w:r>
        <w:rPr>
          <w:b/>
          <w:color w:val="000000" w:themeColor="text1"/>
        </w:rPr>
      </w:r>
    </w:p>
    <w:p>
      <w:pPr>
        <w:pStyle w:val="Normal"/>
        <w:shd w:val="clear" w:color="auto" w:fill="FFFFFF"/>
        <w:ind w:firstLine="567"/>
        <w:rPr>
          <w:b/>
          <w:b/>
          <w:color w:val="000000" w:themeColor="text1"/>
        </w:rPr>
      </w:pPr>
      <w:r>
        <w:rPr>
          <w:b/>
          <w:color w:val="000000" w:themeColor="text1"/>
        </w:rPr>
      </w:r>
    </w:p>
    <w:p>
      <w:pPr>
        <w:pStyle w:val="Normal"/>
        <w:shd w:val="clear" w:color="auto" w:fill="FFFFFF"/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 xml:space="preserve">В соответствии с Федеральным законом от 31.07.2020 № 248-ФЗ «О государственном контроле (надзоре) и муниципальном контроле в Российской Федерации», Уставом </w:t>
      </w:r>
      <w:r>
        <w:rPr>
          <w:bCs/>
          <w:color w:val="000000" w:themeColor="text1"/>
          <w:sz w:val="28"/>
          <w:szCs w:val="28"/>
        </w:rPr>
        <w:t>сельского поселения Верхнее Санчелеево муниципального района Ставропольский Самарской области,</w:t>
      </w:r>
      <w:r>
        <w:rPr>
          <w:i/>
          <w:iCs/>
          <w:color w:val="000000" w:themeColor="text1"/>
          <w:sz w:val="28"/>
          <w:szCs w:val="28"/>
        </w:rPr>
        <w:t xml:space="preserve"> </w:t>
      </w:r>
      <w:r>
        <w:rPr>
          <w:color w:val="000000" w:themeColor="text1"/>
          <w:sz w:val="28"/>
          <w:szCs w:val="28"/>
        </w:rPr>
        <w:t xml:space="preserve">Собрание представителей </w:t>
      </w:r>
      <w:r>
        <w:rPr>
          <w:bCs/>
          <w:color w:val="000000" w:themeColor="text1"/>
          <w:sz w:val="28"/>
          <w:szCs w:val="28"/>
        </w:rPr>
        <w:t>сельского поселения Верхнее Санчелеево муниципального района Ставропольский Самарской области</w:t>
      </w:r>
    </w:p>
    <w:p>
      <w:pPr>
        <w:pStyle w:val="Normal"/>
        <w:shd w:val="clear" w:color="auto" w:fill="FFFFFF"/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</w:r>
    </w:p>
    <w:p>
      <w:pPr>
        <w:pStyle w:val="Normal"/>
        <w:shd w:val="clear" w:color="auto" w:fill="FFFFFF"/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РЕШИЛО:</w:t>
      </w:r>
    </w:p>
    <w:p>
      <w:pPr>
        <w:pStyle w:val="Normal"/>
        <w:shd w:val="clear" w:color="auto" w:fill="FFFFFF"/>
        <w:ind w:firstLine="709"/>
        <w:jc w:val="both"/>
        <w:rPr>
          <w:color w:val="000000" w:themeColor="text1"/>
        </w:rPr>
      </w:pPr>
      <w:r>
        <w:rPr>
          <w:color w:val="000000" w:themeColor="text1"/>
        </w:rPr>
      </w:r>
    </w:p>
    <w:p>
      <w:pPr>
        <w:pStyle w:val="Normal"/>
        <w:ind w:firstLine="709"/>
        <w:jc w:val="both"/>
        <w:rPr/>
      </w:pPr>
      <w:r>
        <w:rPr>
          <w:color w:val="000000" w:themeColor="text1"/>
          <w:sz w:val="28"/>
          <w:szCs w:val="28"/>
        </w:rPr>
        <w:t xml:space="preserve">1. Внести в решение Собрания представителей </w:t>
      </w:r>
      <w:r>
        <w:rPr>
          <w:bCs/>
          <w:color w:val="000000" w:themeColor="text1"/>
          <w:sz w:val="28"/>
          <w:szCs w:val="28"/>
        </w:rPr>
        <w:t>сельского поселения Верхнее Санчелеево муниципального района Ставропольский Самарской области</w:t>
      </w:r>
      <w:r>
        <w:rPr>
          <w:b/>
          <w:bCs/>
          <w:color w:val="000000" w:themeColor="text1"/>
          <w:sz w:val="28"/>
          <w:szCs w:val="28"/>
        </w:rPr>
        <w:t xml:space="preserve"> </w:t>
      </w:r>
      <w:r>
        <w:rPr>
          <w:color w:val="000000" w:themeColor="text1"/>
          <w:sz w:val="28"/>
          <w:szCs w:val="28"/>
        </w:rPr>
        <w:t xml:space="preserve">от </w:t>
      </w:r>
      <w:r>
        <w:rPr>
          <w:color w:val="000000" w:themeColor="text1"/>
          <w:sz w:val="28"/>
          <w:szCs w:val="28"/>
        </w:rPr>
        <w:t>28.04.2022</w:t>
      </w:r>
      <w:r>
        <w:rPr>
          <w:color w:val="000000" w:themeColor="text1"/>
          <w:sz w:val="28"/>
          <w:szCs w:val="28"/>
        </w:rPr>
        <w:t xml:space="preserve"> № </w:t>
      </w:r>
      <w:r>
        <w:rPr>
          <w:color w:val="000000" w:themeColor="text1"/>
          <w:sz w:val="28"/>
          <w:szCs w:val="28"/>
        </w:rPr>
        <w:t>70</w:t>
      </w:r>
      <w:r>
        <w:rPr>
          <w:color w:val="000000" w:themeColor="text1"/>
          <w:sz w:val="28"/>
          <w:szCs w:val="28"/>
        </w:rPr>
        <w:t xml:space="preserve"> «Об утверждении </w:t>
      </w:r>
      <w:r>
        <w:rPr>
          <w:color w:val="000000"/>
          <w:sz w:val="28"/>
          <w:szCs w:val="28"/>
        </w:rPr>
        <w:t>Положения о муниципальном контроле в сфере благоустройства на территории</w:t>
      </w:r>
      <w:r>
        <w:rPr>
          <w:b/>
          <w:bCs/>
          <w:color w:val="000000"/>
          <w:sz w:val="28"/>
          <w:szCs w:val="28"/>
        </w:rPr>
        <w:t xml:space="preserve"> </w:t>
      </w:r>
      <w:r>
        <w:rPr>
          <w:bCs/>
          <w:color w:val="000000" w:themeColor="text1"/>
          <w:sz w:val="28"/>
          <w:szCs w:val="28"/>
        </w:rPr>
        <w:t>сельского поселения Верхнее Санчелеево муниципального района Ставропольский Самарской области</w:t>
      </w:r>
      <w:r>
        <w:rPr>
          <w:color w:val="000000" w:themeColor="text1"/>
          <w:sz w:val="28"/>
          <w:szCs w:val="28"/>
        </w:rPr>
        <w:t>» (далее – Решение) следующие изменения:</w:t>
      </w:r>
    </w:p>
    <w:p>
      <w:pPr>
        <w:pStyle w:val="Normal"/>
        <w:ind w:firstLine="709"/>
        <w:jc w:val="both"/>
        <w:rPr/>
      </w:pPr>
      <w:r>
        <w:rPr>
          <w:color w:val="000000" w:themeColor="text1"/>
          <w:sz w:val="28"/>
          <w:szCs w:val="28"/>
        </w:rPr>
        <w:t xml:space="preserve">1) пункт </w:t>
      </w:r>
      <w:r>
        <w:rPr>
          <w:color w:val="000000" w:themeColor="text1"/>
          <w:sz w:val="28"/>
          <w:szCs w:val="28"/>
        </w:rPr>
        <w:t>5</w:t>
      </w:r>
      <w:r>
        <w:rPr>
          <w:color w:val="000000" w:themeColor="text1"/>
          <w:sz w:val="28"/>
          <w:szCs w:val="28"/>
        </w:rPr>
        <w:t xml:space="preserve">.2 утвержденного Решением Положения </w:t>
      </w:r>
      <w:r>
        <w:rPr>
          <w:color w:val="000000"/>
          <w:sz w:val="28"/>
          <w:szCs w:val="28"/>
        </w:rPr>
        <w:t>о муниципальном контроле в сфере благоустройства на территории</w:t>
      </w:r>
      <w:r>
        <w:rPr>
          <w:color w:val="000000" w:themeColor="text1"/>
          <w:sz w:val="28"/>
          <w:szCs w:val="28"/>
        </w:rPr>
        <w:t xml:space="preserve"> </w:t>
      </w:r>
      <w:r>
        <w:rPr>
          <w:bCs/>
          <w:color w:val="000000" w:themeColor="text1"/>
          <w:sz w:val="28"/>
          <w:szCs w:val="28"/>
        </w:rPr>
        <w:t>сельского поселения Верхнее Санчелеево муниципального района Ставропольский Самарской области</w:t>
      </w:r>
      <w:r>
        <w:rPr>
          <w:color w:val="000000" w:themeColor="text1"/>
        </w:rPr>
        <w:t xml:space="preserve"> </w:t>
      </w:r>
      <w:r>
        <w:rPr>
          <w:color w:val="000000" w:themeColor="text1"/>
          <w:sz w:val="28"/>
          <w:szCs w:val="28"/>
        </w:rPr>
        <w:t>(далее – Положение)</w:t>
      </w:r>
      <w:r>
        <w:rPr>
          <w:color w:val="000000" w:themeColor="text1"/>
        </w:rPr>
        <w:t xml:space="preserve"> </w:t>
      </w:r>
      <w:r>
        <w:rPr>
          <w:color w:val="000000" w:themeColor="text1"/>
          <w:sz w:val="28"/>
          <w:szCs w:val="28"/>
        </w:rPr>
        <w:t>изложить в следующей редакции:</w:t>
      </w:r>
    </w:p>
    <w:p>
      <w:pPr>
        <w:pStyle w:val="12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cs="Times New Roman" w:ascii="Times New Roman" w:hAnsi="Times New Roman"/>
          <w:color w:val="000000" w:themeColor="text1"/>
          <w:sz w:val="28"/>
          <w:szCs w:val="28"/>
        </w:rPr>
        <w:t xml:space="preserve">«6.2. Ключевые и индикативные показатели </w:t>
      </w:r>
      <w:r>
        <w:rPr>
          <w:rFonts w:cs="Times New Roman" w:ascii="Times New Roman" w:hAnsi="Times New Roman"/>
          <w:color w:val="000000"/>
          <w:sz w:val="28"/>
          <w:szCs w:val="28"/>
        </w:rPr>
        <w:t>контроля в сфере благоустройства</w:t>
      </w:r>
      <w:r>
        <w:rPr>
          <w:rFonts w:cs="Times New Roman" w:ascii="Times New Roman" w:hAnsi="Times New Roman"/>
          <w:color w:val="000000" w:themeColor="text1"/>
          <w:sz w:val="28"/>
          <w:szCs w:val="28"/>
        </w:rPr>
        <w:t xml:space="preserve"> указаны в приложении № 2 к настоящему Положению».</w:t>
      </w:r>
    </w:p>
    <w:p>
      <w:pPr>
        <w:pStyle w:val="Normal"/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2) дополнить Положение приложением № 2 в соответствии с приложением к настоящему решению.</w:t>
      </w:r>
    </w:p>
    <w:p>
      <w:pPr>
        <w:pStyle w:val="Normal"/>
        <w:shd w:val="clear" w:color="auto" w:fill="FFFFFF"/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2. Настоящее решение вступает в силу с 1 марта 2022 года.</w:t>
      </w:r>
    </w:p>
    <w:p>
      <w:pPr>
        <w:pStyle w:val="Normal"/>
        <w:shd w:val="clear" w:color="auto" w:fill="FFFFFF"/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</w:r>
    </w:p>
    <w:p>
      <w:pPr>
        <w:pStyle w:val="Normal"/>
        <w:shd w:val="clear" w:color="auto" w:fill="FFFFFF"/>
        <w:ind w:firstLine="56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</w:r>
    </w:p>
    <w:p>
      <w:pPr>
        <w:pStyle w:val="Normal"/>
        <w:shd w:val="clear" w:color="auto" w:fill="FFFFFF"/>
        <w:ind w:firstLine="56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</w:r>
    </w:p>
    <w:p>
      <w:pPr>
        <w:pStyle w:val="Normal"/>
        <w:ind w:left="709" w:hanging="0"/>
        <w:jc w:val="both"/>
        <w:rPr>
          <w:sz w:val="26"/>
          <w:szCs w:val="26"/>
        </w:rPr>
      </w:pPr>
      <w:r>
        <w:rPr>
          <w:sz w:val="26"/>
          <w:szCs w:val="26"/>
        </w:rPr>
      </w:r>
    </w:p>
    <w:tbl>
      <w:tblPr>
        <w:tblW w:w="9349" w:type="dxa"/>
        <w:jc w:val="left"/>
        <w:tblInd w:w="0" w:type="dxa"/>
        <w:tblBorders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614"/>
        <w:gridCol w:w="4734"/>
      </w:tblGrid>
      <w:tr>
        <w:trPr/>
        <w:tc>
          <w:tcPr>
            <w:tcW w:w="4614" w:type="dxa"/>
            <w:tcBorders/>
            <w:shd w:fill="auto" w:val="clear"/>
          </w:tcPr>
          <w:p>
            <w:pPr>
              <w:pStyle w:val="Normal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Председатель Собрания представителей</w:t>
            </w:r>
          </w:p>
          <w:p>
            <w:pPr>
              <w:pStyle w:val="Normal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сельского поселения Верхнее Санчелеево</w:t>
            </w:r>
          </w:p>
          <w:p>
            <w:pPr>
              <w:pStyle w:val="Normal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муниципального района Ставропольский Самар</w:t>
            </w:r>
            <w:bookmarkStart w:id="0" w:name="_GoBack"/>
            <w:bookmarkEnd w:id="0"/>
            <w:r>
              <w:rPr>
                <w:sz w:val="26"/>
                <w:szCs w:val="26"/>
              </w:rPr>
              <w:t>ской области</w:t>
            </w:r>
          </w:p>
          <w:p>
            <w:pPr>
              <w:pStyle w:val="Normal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</w:r>
          </w:p>
          <w:p>
            <w:pPr>
              <w:pStyle w:val="Normal"/>
              <w:jc w:val="both"/>
              <w:rPr/>
            </w:pPr>
            <w:r>
              <w:rPr>
                <w:sz w:val="26"/>
                <w:szCs w:val="26"/>
              </w:rPr>
              <w:t>_________________/</w:t>
            </w:r>
            <w:r>
              <w:rPr>
                <w:sz w:val="26"/>
                <w:szCs w:val="26"/>
              </w:rPr>
              <w:t>Л</w:t>
            </w:r>
            <w:r>
              <w:rPr>
                <w:sz w:val="26"/>
                <w:szCs w:val="26"/>
              </w:rPr>
              <w:t>.</w:t>
            </w:r>
            <w:r>
              <w:rPr>
                <w:sz w:val="26"/>
                <w:szCs w:val="26"/>
              </w:rPr>
              <w:t>Б</w:t>
            </w:r>
            <w:r>
              <w:rPr>
                <w:sz w:val="26"/>
                <w:szCs w:val="26"/>
              </w:rPr>
              <w:t xml:space="preserve">. </w:t>
            </w:r>
            <w:r>
              <w:rPr>
                <w:sz w:val="26"/>
                <w:szCs w:val="26"/>
              </w:rPr>
              <w:t>Григорович</w:t>
            </w:r>
            <w:r>
              <w:rPr>
                <w:sz w:val="26"/>
                <w:szCs w:val="26"/>
              </w:rPr>
              <w:t>/</w:t>
            </w:r>
          </w:p>
        </w:tc>
        <w:tc>
          <w:tcPr>
            <w:tcW w:w="4734" w:type="dxa"/>
            <w:tcBorders/>
            <w:shd w:fill="auto" w:val="clear"/>
          </w:tcPr>
          <w:p>
            <w:pPr>
              <w:pStyle w:val="Normal"/>
              <w:ind w:left="360" w:hanging="0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Глава сельского поселения Верхнее Санчелеево муниципального района Ставропольский Самарской области</w:t>
            </w:r>
          </w:p>
          <w:p>
            <w:pPr>
              <w:pStyle w:val="Normal"/>
              <w:jc w:val="right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</w:r>
          </w:p>
          <w:p>
            <w:pPr>
              <w:pStyle w:val="Normal"/>
              <w:jc w:val="right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</w:r>
          </w:p>
          <w:p>
            <w:pPr>
              <w:pStyle w:val="Normal"/>
              <w:ind w:left="360" w:hanging="0"/>
              <w:jc w:val="right"/>
              <w:rPr>
                <w:sz w:val="26"/>
                <w:szCs w:val="26"/>
              </w:rPr>
            </w:pPr>
            <w:r>
              <w:rPr/>
            </w:r>
          </w:p>
          <w:p>
            <w:pPr>
              <w:pStyle w:val="Normal"/>
              <w:ind w:left="360" w:hanging="0"/>
              <w:jc w:val="right"/>
              <w:rPr>
                <w:sz w:val="26"/>
                <w:szCs w:val="26"/>
              </w:rPr>
            </w:pPr>
            <w:r>
              <w:rPr/>
            </w:r>
          </w:p>
          <w:p>
            <w:pPr>
              <w:pStyle w:val="Normal"/>
              <w:ind w:left="360" w:hanging="0"/>
              <w:jc w:val="right"/>
              <w:rPr/>
            </w:pPr>
            <w:r>
              <w:rPr>
                <w:sz w:val="26"/>
                <w:szCs w:val="26"/>
              </w:rPr>
              <w:t>___________________/</w:t>
            </w:r>
            <w:r>
              <w:rPr>
                <w:sz w:val="26"/>
                <w:szCs w:val="26"/>
              </w:rPr>
              <w:t>П</w:t>
            </w:r>
            <w:r>
              <w:rPr>
                <w:sz w:val="26"/>
                <w:szCs w:val="26"/>
              </w:rPr>
              <w:t>.</w:t>
            </w:r>
            <w:r>
              <w:rPr>
                <w:sz w:val="26"/>
                <w:szCs w:val="26"/>
              </w:rPr>
              <w:t>В</w:t>
            </w:r>
            <w:r>
              <w:rPr>
                <w:sz w:val="26"/>
                <w:szCs w:val="26"/>
              </w:rPr>
              <w:t xml:space="preserve">. </w:t>
            </w:r>
            <w:r>
              <w:rPr>
                <w:sz w:val="26"/>
                <w:szCs w:val="26"/>
              </w:rPr>
              <w:t>Чапарин</w:t>
            </w:r>
            <w:r>
              <w:rPr>
                <w:sz w:val="26"/>
                <w:szCs w:val="26"/>
              </w:rPr>
              <w:t>/</w:t>
            </w:r>
          </w:p>
        </w:tc>
      </w:tr>
    </w:tbl>
    <w:p>
      <w:pPr>
        <w:pStyle w:val="Normal"/>
        <w:spacing w:lineRule="exact" w:line="240"/>
        <w:ind w:left="5398" w:hanging="0"/>
        <w:jc w:val="center"/>
        <w:rPr>
          <w:b/>
          <w:b/>
          <w:color w:val="000000"/>
        </w:rPr>
      </w:pPr>
      <w:r>
        <w:rPr>
          <w:b/>
          <w:color w:val="000000"/>
        </w:rPr>
      </w:r>
    </w:p>
    <w:p>
      <w:pPr>
        <w:pStyle w:val="Normal"/>
        <w:spacing w:lineRule="exact" w:line="240"/>
        <w:rPr>
          <w:i/>
          <w:i/>
          <w:iCs/>
          <w:color w:val="000000" w:themeColor="text1"/>
        </w:rPr>
      </w:pPr>
      <w:r>
        <w:rPr>
          <w:i/>
          <w:iCs/>
          <w:color w:val="000000" w:themeColor="text1"/>
        </w:rPr>
      </w:r>
    </w:p>
    <w:p>
      <w:pPr>
        <w:pStyle w:val="Normal"/>
        <w:rPr>
          <w:i/>
          <w:i/>
          <w:iCs/>
          <w:color w:val="000000" w:themeColor="text1"/>
        </w:rPr>
      </w:pPr>
      <w:r>
        <w:rPr>
          <w:i/>
          <w:iCs/>
          <w:color w:val="000000" w:themeColor="text1"/>
        </w:rPr>
      </w:r>
      <w:r>
        <w:br w:type="page"/>
      </w:r>
    </w:p>
    <w:p>
      <w:pPr>
        <w:pStyle w:val="Normal"/>
        <w:ind w:left="4536" w:hanging="0"/>
        <w:jc w:val="center"/>
        <w:rPr>
          <w:color w:val="000000" w:themeColor="text1"/>
        </w:rPr>
      </w:pPr>
      <w:r>
        <w:rPr>
          <w:color w:val="000000" w:themeColor="text1"/>
        </w:rPr>
        <w:t>Приложение к</w:t>
      </w:r>
    </w:p>
    <w:p>
      <w:pPr>
        <w:pStyle w:val="Normal"/>
        <w:ind w:left="4536" w:hanging="0"/>
        <w:jc w:val="center"/>
        <w:rPr/>
      </w:pPr>
      <w:r>
        <w:rPr>
          <w:color w:val="000000" w:themeColor="text1"/>
        </w:rPr>
        <w:t xml:space="preserve">решению Собрания представителей </w:t>
      </w:r>
      <w:r>
        <w:rPr>
          <w:bCs/>
          <w:color w:val="000000" w:themeColor="text1"/>
        </w:rPr>
        <w:t>сельского поселения Верхнее Санчелеево муниципального района Ставропольский Самарской области</w:t>
      </w:r>
      <w:r>
        <w:rPr>
          <w:color w:val="000000" w:themeColor="text1"/>
        </w:rPr>
        <w:t xml:space="preserve"> от __________</w:t>
      </w:r>
    </w:p>
    <w:p>
      <w:pPr>
        <w:pStyle w:val="Normal"/>
        <w:numPr>
          <w:ilvl w:val="0"/>
          <w:numId w:val="0"/>
        </w:numPr>
        <w:tabs>
          <w:tab w:val="clear" w:pos="708"/>
          <w:tab w:val="left" w:pos="200" w:leader="none"/>
        </w:tabs>
        <w:ind w:left="4536" w:hanging="0"/>
        <w:jc w:val="center"/>
        <w:outlineLvl w:val="0"/>
        <w:rPr>
          <w:color w:val="000000" w:themeColor="text1"/>
        </w:rPr>
      </w:pPr>
      <w:r>
        <w:rPr>
          <w:color w:val="000000" w:themeColor="text1"/>
        </w:rPr>
      </w:r>
    </w:p>
    <w:p>
      <w:pPr>
        <w:pStyle w:val="Normal"/>
        <w:numPr>
          <w:ilvl w:val="0"/>
          <w:numId w:val="0"/>
        </w:numPr>
        <w:tabs>
          <w:tab w:val="clear" w:pos="708"/>
          <w:tab w:val="left" w:pos="200" w:leader="none"/>
        </w:tabs>
        <w:ind w:left="4536" w:hanging="0"/>
        <w:jc w:val="center"/>
        <w:outlineLvl w:val="0"/>
        <w:rPr>
          <w:color w:val="000000" w:themeColor="text1"/>
        </w:rPr>
      </w:pPr>
      <w:r>
        <w:rPr>
          <w:color w:val="000000" w:themeColor="text1"/>
        </w:rPr>
      </w:r>
    </w:p>
    <w:p>
      <w:pPr>
        <w:pStyle w:val="ConsPlusNormal"/>
        <w:ind w:hanging="0"/>
        <w:jc w:val="right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cs="Times New Roman" w:ascii="Times New Roman" w:hAnsi="Times New Roman"/>
          <w:color w:val="000000" w:themeColor="text1"/>
          <w:sz w:val="24"/>
          <w:szCs w:val="24"/>
        </w:rPr>
        <w:t xml:space="preserve">Приложение № 2 к </w:t>
      </w:r>
    </w:p>
    <w:p>
      <w:pPr>
        <w:pStyle w:val="ConsPlusNormal"/>
        <w:ind w:hanging="0"/>
        <w:jc w:val="right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 w:themeColor="text1"/>
          <w:sz w:val="24"/>
          <w:szCs w:val="24"/>
        </w:rPr>
        <w:t xml:space="preserve">Положению </w:t>
      </w:r>
      <w:r>
        <w:rPr>
          <w:rFonts w:cs="Times New Roman" w:ascii="Times New Roman" w:hAnsi="Times New Roman"/>
          <w:color w:val="000000"/>
          <w:sz w:val="24"/>
          <w:szCs w:val="24"/>
        </w:rPr>
        <w:t xml:space="preserve">о муниципальном контроле </w:t>
      </w:r>
    </w:p>
    <w:p>
      <w:pPr>
        <w:pStyle w:val="ConsPlusNormal"/>
        <w:ind w:hanging="0"/>
        <w:jc w:val="right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  <w:t>в сфере благоустройства на территории</w:t>
      </w:r>
      <w:r>
        <w:rPr>
          <w:rFonts w:cs="Times New Roman" w:ascii="Times New Roman" w:hAnsi="Times New Roman"/>
          <w:color w:val="000000" w:themeColor="text1"/>
          <w:sz w:val="24"/>
          <w:szCs w:val="24"/>
        </w:rPr>
        <w:t xml:space="preserve"> </w:t>
      </w:r>
    </w:p>
    <w:p>
      <w:pPr>
        <w:pStyle w:val="ConsPlusNormal"/>
        <w:ind w:hanging="0"/>
        <w:jc w:val="right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>
        <w:rPr>
          <w:rFonts w:cs="Times New Roman" w:ascii="Times New Roman" w:hAnsi="Times New Roman"/>
          <w:bCs/>
          <w:color w:val="000000" w:themeColor="text1"/>
          <w:sz w:val="24"/>
          <w:szCs w:val="24"/>
        </w:rPr>
        <w:t xml:space="preserve">сельского поселения Верхнее Санчелеево </w:t>
      </w:r>
    </w:p>
    <w:p>
      <w:pPr>
        <w:pStyle w:val="ConsPlusNormal"/>
        <w:ind w:hanging="0"/>
        <w:jc w:val="right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>
        <w:rPr>
          <w:rFonts w:cs="Times New Roman" w:ascii="Times New Roman" w:hAnsi="Times New Roman"/>
          <w:bCs/>
          <w:color w:val="000000" w:themeColor="text1"/>
          <w:sz w:val="24"/>
          <w:szCs w:val="24"/>
        </w:rPr>
        <w:t xml:space="preserve">муниципального района Ставропольский </w:t>
      </w:r>
    </w:p>
    <w:p>
      <w:pPr>
        <w:pStyle w:val="ConsPlusNormal"/>
        <w:ind w:hanging="0"/>
        <w:jc w:val="right"/>
        <w:rPr>
          <w:rFonts w:ascii="Times New Roman" w:hAnsi="Times New Roman" w:cs="Times New Roman"/>
          <w:i/>
          <w:i/>
          <w:iCs/>
          <w:color w:val="000000" w:themeColor="text1"/>
          <w:sz w:val="24"/>
          <w:szCs w:val="24"/>
        </w:rPr>
      </w:pPr>
      <w:r>
        <w:rPr>
          <w:rFonts w:cs="Times New Roman" w:ascii="Times New Roman" w:hAnsi="Times New Roman"/>
          <w:bCs/>
          <w:color w:val="000000" w:themeColor="text1"/>
          <w:sz w:val="24"/>
          <w:szCs w:val="24"/>
        </w:rPr>
        <w:t>Самарской области</w:t>
      </w:r>
      <w:r>
        <w:rPr>
          <w:rFonts w:cs="Times New Roman" w:ascii="Times New Roman" w:hAnsi="Times New Roman"/>
          <w:i/>
          <w:iCs/>
          <w:color w:val="000000" w:themeColor="text1"/>
          <w:sz w:val="24"/>
          <w:szCs w:val="24"/>
        </w:rPr>
        <w:t>)</w:t>
      </w:r>
    </w:p>
    <w:p>
      <w:pPr>
        <w:pStyle w:val="ConsPlusNormal"/>
        <w:ind w:hanging="0"/>
        <w:jc w:val="right"/>
        <w:rPr>
          <w:rFonts w:ascii="Times New Roman" w:hAnsi="Times New Roman" w:cs="Times New Roman"/>
          <w:i/>
          <w:i/>
          <w:iCs/>
          <w:color w:val="000000" w:themeColor="text1"/>
          <w:sz w:val="24"/>
          <w:szCs w:val="24"/>
        </w:rPr>
      </w:pPr>
      <w:r>
        <w:rPr>
          <w:rFonts w:cs="Times New Roman" w:ascii="Times New Roman" w:hAnsi="Times New Roman"/>
          <w:i/>
          <w:iCs/>
          <w:color w:val="000000" w:themeColor="text1"/>
          <w:sz w:val="24"/>
          <w:szCs w:val="24"/>
        </w:rPr>
      </w:r>
    </w:p>
    <w:p>
      <w:pPr>
        <w:pStyle w:val="ConsPlusNormal"/>
        <w:ind w:hanging="0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cs="Times New Roman" w:ascii="Times New Roman" w:hAnsi="Times New Roman"/>
          <w:color w:val="000000" w:themeColor="text1"/>
          <w:sz w:val="24"/>
          <w:szCs w:val="24"/>
        </w:rPr>
      </w:r>
    </w:p>
    <w:p>
      <w:pPr>
        <w:pStyle w:val="Normal"/>
        <w:spacing w:lineRule="exact" w:line="240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 xml:space="preserve">Ключевые и индикативные показатели </w:t>
      </w:r>
      <w:r>
        <w:rPr>
          <w:color w:val="000000"/>
          <w:sz w:val="28"/>
          <w:szCs w:val="28"/>
        </w:rPr>
        <w:t>контроля в сфере благоустройства</w:t>
      </w:r>
    </w:p>
    <w:p>
      <w:pPr>
        <w:pStyle w:val="Normal"/>
        <w:spacing w:lineRule="exact" w:line="240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</w:r>
    </w:p>
    <w:p>
      <w:pPr>
        <w:pStyle w:val="Normal"/>
        <w:spacing w:lineRule="exact" w:line="240"/>
        <w:ind w:firstLine="709"/>
        <w:jc w:val="both"/>
        <w:rPr>
          <w:b/>
          <w:b/>
          <w:color w:val="000000" w:themeColor="text1"/>
        </w:rPr>
      </w:pPr>
      <w:r>
        <w:rPr>
          <w:b/>
          <w:color w:val="000000" w:themeColor="text1"/>
        </w:rPr>
      </w:r>
    </w:p>
    <w:tbl>
      <w:tblPr>
        <w:tblW w:w="10897" w:type="dxa"/>
        <w:jc w:val="left"/>
        <w:tblInd w:w="-85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shd w:fill="FFFFFF" w:val="clear"/>
        <w:tblCellMar>
          <w:top w:w="15" w:type="dxa"/>
          <w:left w:w="15" w:type="dxa"/>
          <w:bottom w:w="15" w:type="dxa"/>
          <w:right w:w="15" w:type="dxa"/>
        </w:tblCellMar>
        <w:tblLook w:firstRow="1" w:noVBand="1" w:lastRow="0" w:firstColumn="1" w:lastColumn="0" w:noHBand="0" w:val="04a0"/>
      </w:tblPr>
      <w:tblGrid>
        <w:gridCol w:w="958"/>
        <w:gridCol w:w="1794"/>
        <w:gridCol w:w="1412"/>
        <w:gridCol w:w="3352"/>
        <w:gridCol w:w="1812"/>
        <w:gridCol w:w="1568"/>
      </w:tblGrid>
      <w:tr>
        <w:trPr/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Индекс показателя</w:t>
            </w: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Наименование показателя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Формула расчета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Комментарии (интерпретация значений)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Целевые значения показателей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Источник данных для определения значения показателя</w:t>
            </w:r>
          </w:p>
        </w:tc>
      </w:tr>
      <w:tr>
        <w:trPr/>
        <w:tc>
          <w:tcPr>
            <w:tcW w:w="1089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  <w:vAlign w:val="center"/>
          </w:tcPr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Ключевые показатели</w:t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</w:tr>
      <w:tr>
        <w:trPr/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А</w:t>
            </w:r>
          </w:p>
        </w:tc>
        <w:tc>
          <w:tcPr>
            <w:tcW w:w="993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Показатели результативности, отражающие уровень минимизации вреда (ущерба) охраняемым законом ценностям, уровень устранения риска причинения вреда (ущерба) </w:t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</w:tr>
      <w:tr>
        <w:trPr/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А.1</w:t>
            </w: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Normal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Доля площади прилегающих территорий, в отношении которых не осуществляется содержание соответствующими собственниками (владельцами) </w:t>
            </w:r>
            <w:r>
              <w:rPr>
                <w:color w:val="000000" w:themeColor="text1"/>
                <w:sz w:val="20"/>
                <w:szCs w:val="20"/>
                <w:shd w:fill="FFFFFF" w:val="clear"/>
              </w:rPr>
              <w:t>зданий, строений, сооружений, земельных участков,</w:t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к общей площади всех прилегающих территорий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А.1 = 100% х</w:t>
            </w:r>
          </w:p>
          <w:p>
            <w:pPr>
              <w:pStyle w:val="S16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  <w:lang w:val="en-US"/>
              </w:rPr>
              <w:t>S</w:t>
            </w:r>
            <w:r>
              <w:rPr>
                <w:color w:val="000000" w:themeColor="text1"/>
                <w:sz w:val="20"/>
                <w:szCs w:val="20"/>
              </w:rPr>
              <w:t xml:space="preserve">не сод. / </w:t>
            </w:r>
            <w:r>
              <w:rPr>
                <w:color w:val="000000" w:themeColor="text1"/>
                <w:sz w:val="20"/>
                <w:szCs w:val="20"/>
                <w:lang w:val="en-US"/>
              </w:rPr>
              <w:t>S</w:t>
            </w:r>
            <w:r>
              <w:rPr>
                <w:color w:val="000000" w:themeColor="text1"/>
                <w:sz w:val="20"/>
                <w:szCs w:val="20"/>
              </w:rPr>
              <w:t>прил.</w:t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  <w:p>
            <w:pPr>
              <w:pStyle w:val="S16"/>
              <w:spacing w:beforeAutospacing="0" w:before="0" w:afterAutospacing="0" w:after="0"/>
              <w:rPr/>
            </w:pPr>
            <w:r>
              <w:rPr/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Normal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А.1 - доля площади прилегающих территорий, в отношении которых в соответствии с </w:t>
            </w:r>
            <w:r>
              <w:rPr>
                <w:color w:val="000000" w:themeColor="text1"/>
                <w:sz w:val="20"/>
                <w:szCs w:val="20"/>
                <w:shd w:fill="FFFFFF" w:val="clear"/>
              </w:rPr>
              <w:t xml:space="preserve">правилами благоустройства </w:t>
            </w:r>
            <w:r>
              <w:rPr>
                <w:color w:val="000000" w:themeColor="text1"/>
                <w:sz w:val="20"/>
                <w:szCs w:val="20"/>
              </w:rPr>
              <w:t xml:space="preserve">не осуществляется содержание соответствующими собственниками (владельцами) </w:t>
            </w:r>
            <w:r>
              <w:rPr>
                <w:color w:val="000000" w:themeColor="text1"/>
                <w:sz w:val="20"/>
                <w:szCs w:val="20"/>
                <w:shd w:fill="FFFFFF" w:val="clear"/>
              </w:rPr>
              <w:t xml:space="preserve">зданий, строений, сооружений, земельных участков, </w:t>
            </w:r>
            <w:r>
              <w:rPr>
                <w:color w:val="000000" w:themeColor="text1"/>
                <w:sz w:val="20"/>
                <w:szCs w:val="20"/>
              </w:rPr>
              <w:t>к общей площади всех прилегающих территорий</w:t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  <w:lang w:val="en-US"/>
              </w:rPr>
              <w:t>S</w:t>
            </w:r>
            <w:r>
              <w:rPr>
                <w:color w:val="000000" w:themeColor="text1"/>
                <w:sz w:val="20"/>
                <w:szCs w:val="20"/>
              </w:rPr>
              <w:t xml:space="preserve">не сод.  – общая площадь прилегающих территорий, в отношении которых в соответствии с </w:t>
            </w:r>
            <w:r>
              <w:rPr>
                <w:color w:val="000000" w:themeColor="text1"/>
                <w:sz w:val="20"/>
                <w:szCs w:val="20"/>
                <w:shd w:fill="FFFFFF" w:val="clear"/>
              </w:rPr>
              <w:t xml:space="preserve">правилами благоустройства </w:t>
            </w:r>
            <w:r>
              <w:rPr>
                <w:color w:val="000000" w:themeColor="text1"/>
                <w:sz w:val="20"/>
                <w:szCs w:val="20"/>
              </w:rPr>
              <w:t xml:space="preserve">не осуществляется содержание соответствующими собственниками (владельцами) </w:t>
            </w:r>
            <w:r>
              <w:rPr>
                <w:color w:val="000000" w:themeColor="text1"/>
                <w:sz w:val="20"/>
                <w:szCs w:val="20"/>
                <w:shd w:fill="FFFFFF" w:val="clear"/>
              </w:rPr>
              <w:t>зданий, строений, сооружений, земельных участков</w:t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  <w:lang w:val="en-US"/>
              </w:rPr>
              <w:t>S</w:t>
            </w:r>
            <w:r>
              <w:rPr>
                <w:color w:val="000000" w:themeColor="text1"/>
                <w:sz w:val="20"/>
                <w:szCs w:val="20"/>
              </w:rPr>
              <w:t>прил. – общая площадь всех прилегающих территорий</w:t>
            </w:r>
          </w:p>
          <w:p>
            <w:pPr>
              <w:pStyle w:val="Empty"/>
              <w:spacing w:beforeAutospacing="0" w:before="0" w:afterAutospacing="0" w:after="0"/>
              <w:jc w:val="both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 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/>
            </w:pPr>
            <w:r>
              <w:rPr>
                <w:color w:val="000000" w:themeColor="text1"/>
                <w:sz w:val="20"/>
                <w:szCs w:val="20"/>
              </w:rPr>
              <w:t xml:space="preserve">менее или равно _____ 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 xml:space="preserve">(Указывается значение показателя (например, 0,1 %) исходя из рассчитанной площади территорий, в отношении которых в соответствии с </w:t>
            </w:r>
            <w:r>
              <w:rPr>
                <w:i/>
                <w:iCs/>
                <w:color w:val="000000" w:themeColor="text1"/>
                <w:sz w:val="20"/>
                <w:szCs w:val="20"/>
                <w:shd w:fill="FFFFFF" w:val="clear"/>
              </w:rPr>
              <w:t xml:space="preserve">правилами благоустройства 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 xml:space="preserve">не осуществляется содержание соответствующими собственниками (владельцами) </w:t>
            </w:r>
            <w:r>
              <w:rPr>
                <w:i/>
                <w:iCs/>
                <w:color w:val="000000" w:themeColor="text1"/>
                <w:sz w:val="20"/>
                <w:szCs w:val="20"/>
                <w:shd w:fill="FFFFFF" w:val="clear"/>
              </w:rPr>
              <w:t xml:space="preserve">зданий, строений, сооружений, земельных участков, 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>с учетом площади всех прилегающих территорий. Соответствующая доля должна уменьшаться из года в год. Следовательно, предлагаем полученную величину уменьшить примерно на 10% в сравнении с предыдущим годом)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Empty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Результаты осуществления контроля в сфере благоустройства в течение отчетного года </w:t>
            </w:r>
          </w:p>
        </w:tc>
      </w:tr>
      <w:tr>
        <w:trPr/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А.2</w:t>
            </w: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Количество утраченных в течение отчетного года деревьев и кустарников, удаленных без порубочного билета в случаях, когда требовалось получение порубочного билета</w:t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А.2 = </w:t>
            </w:r>
          </w:p>
          <w:p>
            <w:pPr>
              <w:pStyle w:val="S16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УДК)</w:t>
            </w:r>
          </w:p>
          <w:p>
            <w:pPr>
              <w:pStyle w:val="S16"/>
              <w:spacing w:beforeAutospacing="0" w:before="0" w:afterAutospacing="0" w:after="0"/>
              <w:jc w:val="center"/>
              <w:rPr/>
            </w:pPr>
            <w:r>
              <w:rPr/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А.2 - определяется как сумма утраченных в течение отчетного года деревьев и кустарников (УДК), удаленных без порубочного билета в случаях, когда требовалось получение порубочного билета. 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0 </w:t>
            </w:r>
          </w:p>
          <w:p>
            <w:pPr>
              <w:pStyle w:val="S16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либо</w:t>
            </w:r>
          </w:p>
          <w:p>
            <w:pPr>
              <w:pStyle w:val="S16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менее или равно _____ </w:t>
            </w:r>
          </w:p>
          <w:p>
            <w:pPr>
              <w:pStyle w:val="S16"/>
              <w:spacing w:beforeAutospacing="0" w:before="0" w:afterAutospacing="0" w:after="0"/>
              <w:jc w:val="center"/>
              <w:rPr>
                <w:i/>
                <w:i/>
                <w:iCs/>
                <w:color w:val="000000" w:themeColor="text1"/>
                <w:sz w:val="20"/>
                <w:szCs w:val="20"/>
              </w:rPr>
            </w:pPr>
            <w:r>
              <w:rPr>
                <w:i/>
                <w:iCs/>
                <w:color w:val="000000" w:themeColor="text1"/>
                <w:sz w:val="20"/>
                <w:szCs w:val="20"/>
              </w:rPr>
              <w:t xml:space="preserve">(Указывается прогнозируемое значение показателя. </w:t>
            </w:r>
          </w:p>
          <w:p>
            <w:pPr>
              <w:pStyle w:val="S16"/>
              <w:spacing w:beforeAutospacing="0" w:before="0" w:afterAutospacing="0" w:after="0"/>
              <w:jc w:val="center"/>
              <w:rPr/>
            </w:pPr>
            <w:r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 должно уменьшаться из года в год.)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Empty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Результаты осуществления контроля в сфере благоустройства в течение отчетного года </w:t>
            </w:r>
          </w:p>
        </w:tc>
      </w:tr>
      <w:tr>
        <w:trPr/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А.3</w:t>
            </w: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Количество кубометров мусора, обнаруженного в течение отчетного года на территориях общего пользования и прилегающих территориях 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А.3 = </w:t>
            </w:r>
          </w:p>
          <w:p>
            <w:pPr>
              <w:pStyle w:val="S16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КМТОП)</w:t>
            </w:r>
          </w:p>
          <w:p>
            <w:pPr>
              <w:pStyle w:val="S16"/>
              <w:spacing w:beforeAutospacing="0" w:before="0" w:afterAutospacing="0" w:after="0"/>
              <w:jc w:val="center"/>
              <w:rPr/>
            </w:pPr>
            <w:r>
              <w:rPr/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А.3 - определяется как сумма кубометров мусора (КМТОП), обнаруженного в течение отчетного года на территориях общего пользования и прилегающих территориях. 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0 </w:t>
            </w:r>
          </w:p>
          <w:p>
            <w:pPr>
              <w:pStyle w:val="S16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либо</w:t>
            </w:r>
          </w:p>
          <w:p>
            <w:pPr>
              <w:pStyle w:val="S16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менее или равно _____ </w:t>
            </w:r>
          </w:p>
          <w:p>
            <w:pPr>
              <w:pStyle w:val="S16"/>
              <w:spacing w:beforeAutospacing="0" w:before="0" w:afterAutospacing="0" w:after="0"/>
              <w:jc w:val="center"/>
              <w:rPr>
                <w:i/>
                <w:i/>
                <w:iCs/>
                <w:color w:val="000000" w:themeColor="text1"/>
                <w:sz w:val="20"/>
                <w:szCs w:val="20"/>
              </w:rPr>
            </w:pPr>
            <w:r>
              <w:rPr>
                <w:i/>
                <w:iCs/>
                <w:color w:val="000000" w:themeColor="text1"/>
                <w:sz w:val="20"/>
                <w:szCs w:val="20"/>
              </w:rPr>
              <w:t xml:space="preserve">(Указывается прогнозируемое значение показателя. </w:t>
            </w:r>
          </w:p>
          <w:p>
            <w:pPr>
              <w:pStyle w:val="S16"/>
              <w:spacing w:beforeAutospacing="0" w:before="0" w:afterAutospacing="0" w:after="0"/>
              <w:jc w:val="center"/>
              <w:rPr/>
            </w:pPr>
            <w:r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 должно уменьшаться из года в год.)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Empty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Результаты осуществления контроля в сфере благоустройства в течение отчетного года </w:t>
            </w:r>
          </w:p>
        </w:tc>
      </w:tr>
      <w:tr>
        <w:trPr/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А.4</w:t>
            </w: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Количество случаев травматизма людей,  выявленных в течение отчетного года</w:t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А.4 = </w:t>
            </w:r>
          </w:p>
          <w:p>
            <w:pPr>
              <w:pStyle w:val="S16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СТЛ)</w:t>
            </w:r>
          </w:p>
          <w:p>
            <w:pPr>
              <w:pStyle w:val="S16"/>
              <w:spacing w:beforeAutospacing="0" w:before="0" w:afterAutospacing="0" w:after="0"/>
              <w:jc w:val="center"/>
              <w:rPr/>
            </w:pPr>
            <w:r>
              <w:rPr/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А.4 - определяется как сумма случаев </w:t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получения людьми травм (СТЛ) в течение отчетного года вследствие: </w:t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- не своевременного удаления наледи на территории общего пользования (включая прилегающие территории);</w:t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 </w:t>
            </w:r>
            <w:r>
              <w:rPr>
                <w:color w:val="000000" w:themeColor="text1"/>
                <w:sz w:val="20"/>
                <w:szCs w:val="20"/>
              </w:rPr>
              <w:t>- не своевременного удаления сосулек;</w:t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- неустановления ограждения опасных участков, включая мест ведения земляных и строительных работ</w:t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   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0 </w:t>
            </w:r>
          </w:p>
          <w:p>
            <w:pPr>
              <w:pStyle w:val="S16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либо</w:t>
            </w:r>
          </w:p>
          <w:p>
            <w:pPr>
              <w:pStyle w:val="S16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менее или равно _____ </w:t>
            </w:r>
          </w:p>
          <w:p>
            <w:pPr>
              <w:pStyle w:val="S16"/>
              <w:spacing w:beforeAutospacing="0" w:before="0" w:afterAutospacing="0" w:after="0"/>
              <w:jc w:val="center"/>
              <w:rPr>
                <w:i/>
                <w:i/>
                <w:iCs/>
                <w:color w:val="000000" w:themeColor="text1"/>
                <w:sz w:val="20"/>
                <w:szCs w:val="20"/>
              </w:rPr>
            </w:pPr>
            <w:r>
              <w:rPr>
                <w:i/>
                <w:iCs/>
                <w:color w:val="000000" w:themeColor="text1"/>
                <w:sz w:val="20"/>
                <w:szCs w:val="20"/>
              </w:rPr>
              <w:t xml:space="preserve">(Указывается прогнозируемое значение показателя. </w:t>
            </w:r>
          </w:p>
          <w:p>
            <w:pPr>
              <w:pStyle w:val="S16"/>
              <w:spacing w:beforeAutospacing="0" w:before="0" w:afterAutospacing="0" w:after="0"/>
              <w:jc w:val="center"/>
              <w:rPr/>
            </w:pPr>
            <w:r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 должно уменьшаться из года в год.)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Empty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Сведения учреждений здравоохранения о травматизме и жалобы граждан</w:t>
            </w:r>
          </w:p>
        </w:tc>
      </w:tr>
      <w:tr>
        <w:trPr/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А.5</w:t>
            </w: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Количество выявленных в течение отчетного года случаев причинения вреда людям</w:t>
            </w:r>
            <w:r>
              <w:rPr>
                <w:rFonts w:eastAsia="Calibri"/>
                <w:bCs/>
                <w:color w:val="000000"/>
                <w:sz w:val="28"/>
                <w:szCs w:val="28"/>
                <w:lang w:eastAsia="en-US"/>
              </w:rPr>
              <w:t xml:space="preserve"> </w:t>
            </w:r>
            <w:r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>карантинными и ядовиты</w:t>
            </w:r>
            <w:r>
              <w:rPr>
                <w:bCs/>
                <w:color w:val="000000"/>
                <w:sz w:val="20"/>
                <w:szCs w:val="20"/>
              </w:rPr>
              <w:t>ми растениями</w:t>
            </w:r>
            <w:r>
              <w:rPr>
                <w:color w:val="000000" w:themeColor="text1"/>
                <w:sz w:val="20"/>
                <w:szCs w:val="20"/>
              </w:rPr>
              <w:t xml:space="preserve">  </w:t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А.5 = </w:t>
            </w:r>
          </w:p>
          <w:p>
            <w:pPr>
              <w:pStyle w:val="S16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СВЛ)</w:t>
            </w:r>
          </w:p>
          <w:p>
            <w:pPr>
              <w:pStyle w:val="S16"/>
              <w:spacing w:beforeAutospacing="0" w:before="0" w:afterAutospacing="0" w:after="0"/>
              <w:jc w:val="center"/>
              <w:rPr/>
            </w:pPr>
            <w:r>
              <w:rPr/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А.5 - определяется как сумма случаев </w:t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получения в течение отчетного года людьми вреда (СВЛ) вследствие не своевременного удаления </w:t>
            </w:r>
            <w:r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>карантинных и ядовиты</w:t>
            </w:r>
            <w:r>
              <w:rPr>
                <w:bCs/>
                <w:color w:val="000000"/>
                <w:sz w:val="20"/>
                <w:szCs w:val="20"/>
              </w:rPr>
              <w:t>х растений с</w:t>
            </w:r>
            <w:r>
              <w:rPr>
                <w:color w:val="000000" w:themeColor="text1"/>
                <w:sz w:val="20"/>
                <w:szCs w:val="20"/>
              </w:rPr>
              <w:t xml:space="preserve"> территорий общего пользования и прилегающих территорий    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0 </w:t>
            </w:r>
          </w:p>
          <w:p>
            <w:pPr>
              <w:pStyle w:val="S16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либо</w:t>
            </w:r>
          </w:p>
          <w:p>
            <w:pPr>
              <w:pStyle w:val="S16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менее или равно _____ </w:t>
            </w:r>
          </w:p>
          <w:p>
            <w:pPr>
              <w:pStyle w:val="S16"/>
              <w:spacing w:beforeAutospacing="0" w:before="0" w:afterAutospacing="0" w:after="0"/>
              <w:jc w:val="center"/>
              <w:rPr>
                <w:i/>
                <w:i/>
                <w:iCs/>
                <w:color w:val="000000" w:themeColor="text1"/>
                <w:sz w:val="20"/>
                <w:szCs w:val="20"/>
              </w:rPr>
            </w:pPr>
            <w:r>
              <w:rPr>
                <w:i/>
                <w:iCs/>
                <w:color w:val="000000" w:themeColor="text1"/>
                <w:sz w:val="20"/>
                <w:szCs w:val="20"/>
              </w:rPr>
              <w:t xml:space="preserve">(Указывается прогнозируемое значение показателя. </w:t>
            </w:r>
          </w:p>
          <w:p>
            <w:pPr>
              <w:pStyle w:val="S16"/>
              <w:spacing w:beforeAutospacing="0" w:before="0" w:afterAutospacing="0" w:after="0"/>
              <w:jc w:val="center"/>
              <w:rPr/>
            </w:pPr>
            <w:r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 должно уменьшаться из года в год.)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Empty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Сведения учреждений здравоохранения о причинении вреда здоровью и жалобы граждан</w:t>
            </w:r>
          </w:p>
        </w:tc>
      </w:tr>
      <w:tr>
        <w:trPr/>
        <w:tc>
          <w:tcPr>
            <w:tcW w:w="1089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  <w:vAlign w:val="center"/>
          </w:tcPr>
          <w:p>
            <w:pPr>
              <w:pStyle w:val="Empty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Индикативные показатели</w:t>
            </w:r>
          </w:p>
        </w:tc>
      </w:tr>
      <w:tr>
        <w:trPr/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</w:t>
            </w:r>
          </w:p>
        </w:tc>
        <w:tc>
          <w:tcPr>
            <w:tcW w:w="993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Показатели эффективности, применяемые для мониторинга контрольной деятельности, её анализа, выявления проблем, возникающих при её осуществлении, и определения причин их возникновения, характеризующих соотношение между степенью устранения риска причинения вреда (ущерба) и объемом трудовых, материальных и финансовых ресурсов, а также уровень вмешательства в деятельность контролируемых лиц   </w:t>
            </w:r>
          </w:p>
          <w:p>
            <w:pPr>
              <w:pStyle w:val="Empty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</w:tr>
      <w:tr>
        <w:trPr/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</w:t>
            </w:r>
            <w:r>
              <w:rPr>
                <w:rStyle w:val="FootnoteCharacters"/>
                <w:rStyle w:val="Style14"/>
                <w:color w:val="000000" w:themeColor="text1"/>
                <w:sz w:val="20"/>
                <w:szCs w:val="20"/>
              </w:rPr>
              <w:footnoteReference w:id="2"/>
            </w:r>
          </w:p>
          <w:p>
            <w:pPr>
              <w:pStyle w:val="S1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Количество плановых контрольных мероприятий, проведенных за отчетный период</w:t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Б.1 = </w:t>
            </w:r>
            <w:r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КПМ)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Б.1 определяется как сумма </w:t>
            </w:r>
            <w:r>
              <w:rPr>
                <w:sz w:val="20"/>
                <w:szCs w:val="20"/>
              </w:rPr>
              <w:t xml:space="preserve">плановых контрольных мероприятий </w:t>
            </w:r>
            <w:r>
              <w:rPr>
                <w:color w:val="000000" w:themeColor="text1"/>
                <w:sz w:val="20"/>
                <w:szCs w:val="20"/>
              </w:rPr>
              <w:t>(КПМ),</w:t>
            </w:r>
            <w:r>
              <w:rPr>
                <w:sz w:val="20"/>
                <w:szCs w:val="20"/>
              </w:rPr>
              <w:t xml:space="preserve"> проведенных за отчетный период</w:t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/>
            </w:pPr>
            <w:r>
              <w:rPr>
                <w:color w:val="000000" w:themeColor="text1"/>
                <w:sz w:val="20"/>
                <w:szCs w:val="20"/>
              </w:rPr>
              <w:t>Целевое значение устанавливается равным количеству плановых контрольных мероприятий, предусмотренных планом на соответствующий год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Empty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>
        <w:trPr/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Б.2</w:t>
            </w: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Количество внеплановых контрольных мероприятий, проведенных за отчетный период</w:t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Б.2 = </w:t>
            </w:r>
            <w:r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КВМ)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Б.2 определяется как сумма вне</w:t>
            </w:r>
            <w:r>
              <w:rPr>
                <w:sz w:val="20"/>
                <w:szCs w:val="20"/>
              </w:rPr>
              <w:t xml:space="preserve">плановых контрольных мероприятий </w:t>
            </w:r>
            <w:r>
              <w:rPr>
                <w:color w:val="000000" w:themeColor="text1"/>
                <w:sz w:val="20"/>
                <w:szCs w:val="20"/>
              </w:rPr>
              <w:t>(КВМ),</w:t>
            </w:r>
            <w:r>
              <w:rPr>
                <w:sz w:val="20"/>
                <w:szCs w:val="20"/>
              </w:rPr>
              <w:t xml:space="preserve"> проведенных за отчетный период</w:t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/>
            </w:pPr>
            <w:r>
              <w:rPr>
                <w:color w:val="000000" w:themeColor="text1"/>
                <w:sz w:val="20"/>
                <w:szCs w:val="20"/>
              </w:rPr>
              <w:t>Целевое значение не устанавливается, так как муниципальный контроль не преследует цели повышения интенсивности проведения муниципального контроля и привлечения к ответственности контролируемых лиц, а в большей степени ориентирован на профилактику нарушений обязательных требований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Empty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>
        <w:trPr/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Б.3</w:t>
            </w: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Количество внеплановых контрольных мероприятий, проведенных на основании выявления соответствия объекта контроля параметрам, утвержденным индикаторами риска нарушения обязательных требований, или отклонения объекта контроля от таких параметров, за отчетный период</w:t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Б.3 = </w:t>
            </w:r>
            <w:r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КВМИР)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Б.3 определяется как сумма </w:t>
            </w:r>
            <w:r>
              <w:rPr>
                <w:sz w:val="20"/>
                <w:szCs w:val="20"/>
              </w:rPr>
              <w:t>внеплановых контрольных мероприятий, проведенных на основании выявления соответствия объекта контроля параметрам, утвержденным индикаторами риска нарушения обязательных требований, или отклонения объекта контроля от таких параметров</w:t>
            </w:r>
            <w:r>
              <w:rPr>
                <w:color w:val="000000" w:themeColor="text1"/>
                <w:sz w:val="20"/>
                <w:szCs w:val="20"/>
              </w:rPr>
              <w:t xml:space="preserve"> (КВМИР),</w:t>
            </w:r>
            <w:r>
              <w:rPr>
                <w:sz w:val="20"/>
                <w:szCs w:val="20"/>
              </w:rPr>
              <w:t xml:space="preserve"> проведенных за отчетный период</w:t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/>
            </w:pPr>
            <w:r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Empty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>
        <w:trPr/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Б.4</w:t>
            </w: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Общее количество контрольных мероприятий с взаимодействием, проведенных за отчетный период</w:t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Б.4 = </w:t>
            </w:r>
            <w:r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КМСВ)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Б.4 определяется как сумма </w:t>
            </w:r>
            <w:r>
              <w:rPr>
                <w:sz w:val="20"/>
                <w:szCs w:val="20"/>
              </w:rPr>
              <w:t>контрольных мероприятий с взаимодействием</w:t>
            </w:r>
            <w:r>
              <w:rPr>
                <w:color w:val="000000" w:themeColor="text1"/>
                <w:sz w:val="20"/>
                <w:szCs w:val="20"/>
              </w:rPr>
              <w:t xml:space="preserve"> (КМСВ),</w:t>
            </w:r>
            <w:r>
              <w:rPr>
                <w:sz w:val="20"/>
                <w:szCs w:val="20"/>
              </w:rPr>
              <w:t xml:space="preserve"> проведенных за отчетный период</w:t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/>
            </w:pPr>
            <w:r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Empty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>
        <w:trPr/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Б.5</w:t>
            </w: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Количество контрольных мероприятий с взаимодействием по каждому виду контрольных мероприятий, проведенных за отчетный период</w:t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Б.5 = </w:t>
            </w:r>
            <w:r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КМСВвид)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rPr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Б.5 определяется как сумма </w:t>
            </w:r>
            <w:r>
              <w:rPr>
                <w:sz w:val="20"/>
                <w:szCs w:val="20"/>
              </w:rPr>
              <w:t>контрольных мероприятий с взаимодействием по каждому виду контрольных мероприятий</w:t>
            </w:r>
            <w:r>
              <w:rPr>
                <w:color w:val="000000" w:themeColor="text1"/>
                <w:sz w:val="20"/>
                <w:szCs w:val="20"/>
              </w:rPr>
              <w:t xml:space="preserve"> (КМСВвид),</w:t>
            </w:r>
            <w:r>
              <w:rPr>
                <w:sz w:val="20"/>
                <w:szCs w:val="20"/>
              </w:rPr>
              <w:t xml:space="preserve"> проведенных за отчетный период.</w:t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/>
            </w:pPr>
            <w:r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Empty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>
        <w:trPr/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Б.6</w:t>
            </w: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Количество контрольных мероприятий, проведенных с использованием средств дистанционного взаимодействия, за отчетный период</w:t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Б.6 = </w:t>
            </w:r>
            <w:r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КМДист)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rPr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Б.6 определяется как сумма </w:t>
            </w:r>
            <w:r>
              <w:rPr>
                <w:sz w:val="20"/>
                <w:szCs w:val="20"/>
              </w:rPr>
              <w:t>контрольных мероприятий, проведенных с использованием средств дистанционного взаимодействия</w:t>
            </w:r>
            <w:r>
              <w:rPr>
                <w:color w:val="000000" w:themeColor="text1"/>
                <w:sz w:val="20"/>
                <w:szCs w:val="20"/>
              </w:rPr>
              <w:t xml:space="preserve"> (КМДист),</w:t>
            </w:r>
            <w:r>
              <w:rPr>
                <w:sz w:val="20"/>
                <w:szCs w:val="20"/>
              </w:rPr>
              <w:t xml:space="preserve"> проведенных за отчетный период.</w:t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/>
            </w:pPr>
            <w:r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Empty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>
        <w:trPr/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Б.7</w:t>
            </w:r>
            <w:r>
              <w:rPr>
                <w:rStyle w:val="FootnoteCharacters"/>
                <w:rStyle w:val="Style14"/>
                <w:color w:val="000000" w:themeColor="text1"/>
                <w:sz w:val="20"/>
                <w:szCs w:val="20"/>
              </w:rPr>
              <w:footnoteReference w:id="3"/>
            </w: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Normal"/>
              <w:rPr/>
            </w:pPr>
            <w:r>
              <w:rPr>
                <w:sz w:val="20"/>
                <w:szCs w:val="20"/>
              </w:rPr>
              <w:t>Количество обязательных профилактических визитов, проведенных за отчетный период</w:t>
            </w:r>
          </w:p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Б.7 = </w:t>
            </w:r>
            <w:r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КОПВ)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rPr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Б.7 определяется как сумма </w:t>
            </w:r>
            <w:r>
              <w:rPr>
                <w:sz w:val="20"/>
                <w:szCs w:val="20"/>
              </w:rPr>
              <w:t>обязательных профилактических визитов</w:t>
            </w:r>
            <w:r>
              <w:rPr>
                <w:color w:val="000000" w:themeColor="text1"/>
                <w:sz w:val="20"/>
                <w:szCs w:val="20"/>
              </w:rPr>
              <w:t xml:space="preserve"> (КОПВ),</w:t>
            </w:r>
            <w:r>
              <w:rPr>
                <w:sz w:val="20"/>
                <w:szCs w:val="20"/>
              </w:rPr>
              <w:t xml:space="preserve"> проведенных за отчетный период.</w:t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/>
            </w:pPr>
            <w:r>
              <w:rPr>
                <w:color w:val="000000" w:themeColor="text1"/>
                <w:sz w:val="20"/>
                <w:szCs w:val="20"/>
              </w:rPr>
              <w:t xml:space="preserve">Целевое значение либо не устанавливается, либо устанавливается равным количеству обязательных профилактических визитов, предусмотренных программой профилактики </w:t>
            </w:r>
            <w:r>
              <w:rPr>
                <w:color w:val="000000" w:themeColor="text1"/>
                <w:sz w:val="20"/>
                <w:szCs w:val="20"/>
                <w:shd w:fill="FFFFFF" w:val="clear"/>
              </w:rPr>
              <w:t>рисков причинения вреда (ущерба) охраняемым законом ценностям в сфере</w:t>
            </w:r>
            <w:r>
              <w:rPr>
                <w:color w:val="000000" w:themeColor="text1"/>
                <w:sz w:val="20"/>
                <w:szCs w:val="20"/>
              </w:rPr>
              <w:t xml:space="preserve"> соответствующего вида муниципального контроля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Empty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>
        <w:trPr/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Б.8</w:t>
            </w: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Количество предостережений о недопустимости нарушения обязательных требований, объявленных за отчетный период</w:t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Б.8 = </w:t>
            </w:r>
            <w:r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КПНН)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rPr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Б.8 определяется как сумма </w:t>
            </w:r>
            <w:r>
              <w:rPr>
                <w:sz w:val="20"/>
                <w:szCs w:val="20"/>
              </w:rPr>
              <w:t>предостережений о недопустимости нарушения обязательных требований</w:t>
            </w:r>
            <w:r>
              <w:rPr>
                <w:color w:val="000000" w:themeColor="text1"/>
                <w:sz w:val="20"/>
                <w:szCs w:val="20"/>
              </w:rPr>
              <w:t xml:space="preserve"> (КПНН),</w:t>
            </w:r>
            <w:r>
              <w:rPr>
                <w:sz w:val="20"/>
                <w:szCs w:val="20"/>
              </w:rPr>
              <w:t xml:space="preserve"> проведенных за отчетный период.</w:t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/>
            </w:pPr>
            <w:r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Empty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>
        <w:trPr/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Б.9</w:t>
            </w: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Количество контрольных</w:t>
            </w:r>
          </w:p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мероприятий, по результатам которых выявлены нарушения обязательных требований, за отчетный период</w:t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Б.9 = </w:t>
            </w:r>
            <w:r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КМНОТ)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Б.9 определяется как сумма </w:t>
            </w:r>
            <w:r>
              <w:rPr>
                <w:sz w:val="20"/>
                <w:szCs w:val="20"/>
              </w:rPr>
              <w:t>контрольных мероприятий, по результатам которых выявлены нарушения обязательных требований</w:t>
            </w:r>
            <w:r>
              <w:rPr>
                <w:color w:val="000000" w:themeColor="text1"/>
                <w:sz w:val="20"/>
                <w:szCs w:val="20"/>
              </w:rPr>
              <w:t xml:space="preserve"> (КМНОТ),</w:t>
            </w:r>
            <w:r>
              <w:rPr>
                <w:sz w:val="20"/>
                <w:szCs w:val="20"/>
              </w:rPr>
              <w:t xml:space="preserve"> проведенных за отчетный период.</w:t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/>
            </w:pPr>
            <w:r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Empty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>
        <w:trPr/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Б.10</w:t>
            </w: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Normal"/>
              <w:rPr/>
            </w:pPr>
            <w:r>
              <w:rPr>
                <w:sz w:val="20"/>
                <w:szCs w:val="20"/>
              </w:rPr>
              <w:t>Количество контрольных мероприятий, по итогам которых возбуждены дела об административных правонарушениях, за отчетный период</w:t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Б.10 = </w:t>
            </w:r>
            <w:r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КМАП)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Б.10 определяется как сумма </w:t>
            </w:r>
            <w:r>
              <w:rPr>
                <w:sz w:val="20"/>
                <w:szCs w:val="20"/>
              </w:rPr>
              <w:t>контрольных мероприятий, по итогам которых возбуждены дела об административных правонарушениях</w:t>
            </w:r>
            <w:r>
              <w:rPr>
                <w:color w:val="000000" w:themeColor="text1"/>
                <w:sz w:val="20"/>
                <w:szCs w:val="20"/>
              </w:rPr>
              <w:t xml:space="preserve"> (КМАП),</w:t>
            </w:r>
            <w:r>
              <w:rPr>
                <w:sz w:val="20"/>
                <w:szCs w:val="20"/>
              </w:rPr>
              <w:t xml:space="preserve"> проведенных за отчетный период.</w:t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/>
            </w:pPr>
            <w:r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Empty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>
        <w:trPr/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Б.11</w:t>
            </w: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Сумма административных штрафов, наложенных по результатам контрольных мероприятий, за отчетный период</w:t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Б.11 = </w:t>
            </w:r>
            <w:r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АШ)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Б.11 определяется как сумма </w:t>
            </w:r>
            <w:r>
              <w:rPr>
                <w:sz w:val="20"/>
                <w:szCs w:val="20"/>
              </w:rPr>
              <w:t>административных штрафов, наложенных по результатам контрольных мероприятий</w:t>
            </w:r>
            <w:r>
              <w:rPr>
                <w:color w:val="000000" w:themeColor="text1"/>
                <w:sz w:val="20"/>
                <w:szCs w:val="20"/>
              </w:rPr>
              <w:t xml:space="preserve"> (АШ),</w:t>
            </w:r>
            <w:r>
              <w:rPr>
                <w:sz w:val="20"/>
                <w:szCs w:val="20"/>
              </w:rPr>
              <w:t xml:space="preserve"> проведенных за отчетный период.</w:t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/>
            </w:pPr>
            <w:r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Empty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>
        <w:trPr/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Б.12</w:t>
            </w: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Количество направленных в органы прокуратуры заявлений о согласовании проведения контрольных мероприятий, за отчетный период</w:t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Б.12 = </w:t>
            </w:r>
            <w:r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КЗОП)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Б.12 определяется как сумма </w:t>
            </w:r>
            <w:r>
              <w:rPr>
                <w:sz w:val="20"/>
                <w:szCs w:val="20"/>
              </w:rPr>
              <w:t>направленных в органы прокуратуры заявлений о согласовании проведения контрольных мероприятий</w:t>
            </w:r>
            <w:r>
              <w:rPr>
                <w:color w:val="000000" w:themeColor="text1"/>
                <w:sz w:val="20"/>
                <w:szCs w:val="20"/>
              </w:rPr>
              <w:t xml:space="preserve"> (КЗОП),</w:t>
            </w:r>
            <w:r>
              <w:rPr>
                <w:sz w:val="20"/>
                <w:szCs w:val="20"/>
              </w:rPr>
              <w:t xml:space="preserve"> проведенных за отчетный период.</w:t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/>
            </w:pPr>
            <w:r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Empty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>
        <w:trPr/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Б.13</w:t>
            </w: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Количество направленных в органы прокуратуры заявлений о согласовании проведения контрольных мероприятий, по которым органами прокуратуры отказано в согласовании, за отчетный период</w:t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Б.13 = </w:t>
            </w:r>
            <w:r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КЗОПОС)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Б.13 определяется как сумма </w:t>
            </w:r>
            <w:r>
              <w:rPr>
                <w:sz w:val="20"/>
                <w:szCs w:val="20"/>
              </w:rPr>
              <w:t>направленных в органы прокуратуры заявлений о согласовании проведения контрольных мероприятий, по которым органами прокуратуры отказано в согласовании</w:t>
            </w:r>
            <w:r>
              <w:rPr>
                <w:color w:val="000000" w:themeColor="text1"/>
                <w:sz w:val="20"/>
                <w:szCs w:val="20"/>
              </w:rPr>
              <w:t xml:space="preserve"> (КЗОПОС),</w:t>
            </w:r>
            <w:r>
              <w:rPr>
                <w:sz w:val="20"/>
                <w:szCs w:val="20"/>
              </w:rPr>
              <w:t xml:space="preserve"> проведенных за отчетный период.</w:t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/>
            </w:pPr>
            <w:r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Empty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>
        <w:trPr/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Б.14</w:t>
            </w: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Общее количество учтенных объектов контроля на конец отчетного периода</w:t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Б.14 = </w:t>
            </w:r>
            <w:r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КУОК)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Б.14 определяется как сумма </w:t>
            </w:r>
            <w:r>
              <w:rPr>
                <w:sz w:val="20"/>
                <w:szCs w:val="20"/>
              </w:rPr>
              <w:t>учтенных объектов контроля на конец отчетного периода</w:t>
            </w:r>
            <w:r>
              <w:rPr>
                <w:color w:val="000000" w:themeColor="text1"/>
                <w:sz w:val="20"/>
                <w:szCs w:val="20"/>
              </w:rPr>
              <w:t xml:space="preserve"> (КУОК)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/>
            </w:pPr>
            <w:r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Empty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Результаты </w:t>
            </w:r>
            <w:r>
              <w:rPr>
                <w:sz w:val="20"/>
                <w:szCs w:val="20"/>
              </w:rPr>
              <w:t xml:space="preserve">учёта объектов контроля на конец </w:t>
            </w:r>
            <w:r>
              <w:rPr>
                <w:color w:val="000000" w:themeColor="text1"/>
                <w:sz w:val="20"/>
                <w:szCs w:val="20"/>
              </w:rPr>
              <w:t xml:space="preserve">отчетного года </w:t>
            </w:r>
          </w:p>
        </w:tc>
      </w:tr>
      <w:tr>
        <w:trPr/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Б.15</w:t>
            </w: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Количество учтенных объектов контроля, отнесенных к категориям риска, по каждой из категорий риска, на конец отчетного периода</w:t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Б.15 = </w:t>
            </w:r>
            <w:r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КУОККР)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Б.15 определяется как сумма </w:t>
            </w:r>
            <w:r>
              <w:rPr>
                <w:sz w:val="20"/>
                <w:szCs w:val="20"/>
              </w:rPr>
              <w:t>учтенных объектов контроля, отнесенных к категориям риска, по каждой из категорий риска, на конец отчетного периода</w:t>
            </w:r>
            <w:r>
              <w:rPr>
                <w:color w:val="000000" w:themeColor="text1"/>
                <w:sz w:val="20"/>
                <w:szCs w:val="20"/>
              </w:rPr>
              <w:t xml:space="preserve"> (КУОККР)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/>
            </w:pPr>
            <w:r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Empty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Результаты </w:t>
            </w:r>
            <w:r>
              <w:rPr>
                <w:sz w:val="20"/>
                <w:szCs w:val="20"/>
              </w:rPr>
              <w:t xml:space="preserve">учёта объектов контроля по каждой категории риска на конец </w:t>
            </w:r>
            <w:r>
              <w:rPr>
                <w:color w:val="000000" w:themeColor="text1"/>
                <w:sz w:val="20"/>
                <w:szCs w:val="20"/>
              </w:rPr>
              <w:t xml:space="preserve">отчетного года </w:t>
            </w:r>
          </w:p>
        </w:tc>
      </w:tr>
      <w:tr>
        <w:trPr/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Б.16</w:t>
            </w: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Количество учтенных контролируемых лиц на конец отчетного периода</w:t>
            </w:r>
          </w:p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Б.16 = </w:t>
            </w:r>
            <w:r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УКЛ)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Б.16 определяется как сумма </w:t>
            </w:r>
            <w:r>
              <w:rPr>
                <w:sz w:val="20"/>
                <w:szCs w:val="20"/>
              </w:rPr>
              <w:t>учтенных контролируемых лиц на конец отчетного периода</w:t>
            </w:r>
            <w:r>
              <w:rPr>
                <w:color w:val="000000" w:themeColor="text1"/>
                <w:sz w:val="20"/>
                <w:szCs w:val="20"/>
              </w:rPr>
              <w:t xml:space="preserve"> (УКЛ)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/>
            </w:pPr>
            <w:r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Empty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Результаты </w:t>
            </w:r>
            <w:r>
              <w:rPr>
                <w:sz w:val="20"/>
                <w:szCs w:val="20"/>
              </w:rPr>
              <w:t>учёта контролируемых лиц на конец отчетного периода</w:t>
            </w:r>
            <w:r>
              <w:rPr>
                <w:color w:val="000000" w:themeColor="text1"/>
                <w:sz w:val="20"/>
                <w:szCs w:val="20"/>
              </w:rPr>
              <w:t xml:space="preserve"> </w:t>
            </w:r>
          </w:p>
        </w:tc>
      </w:tr>
      <w:tr>
        <w:trPr/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Б.17</w:t>
            </w: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Normal"/>
              <w:rPr/>
            </w:pPr>
            <w:r>
              <w:rPr>
                <w:sz w:val="20"/>
                <w:szCs w:val="20"/>
              </w:rPr>
              <w:t>Количество учтенных контролируемых лиц, в отношении которых проведены контрольные мероприятия, за отчетный период</w:t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Б.17 = </w:t>
            </w:r>
            <w:r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УКЛКМ)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Б.17 определяется как сумма </w:t>
            </w:r>
            <w:r>
              <w:rPr>
                <w:sz w:val="20"/>
                <w:szCs w:val="20"/>
              </w:rPr>
              <w:t xml:space="preserve">контролируемых лиц, в отношении которых проведены контрольные мероприятия </w:t>
            </w:r>
            <w:r>
              <w:rPr>
                <w:color w:val="000000" w:themeColor="text1"/>
                <w:sz w:val="20"/>
                <w:szCs w:val="20"/>
              </w:rPr>
              <w:t>(УКЛКМ)</w:t>
            </w:r>
            <w:r>
              <w:rPr>
                <w:sz w:val="20"/>
                <w:szCs w:val="20"/>
              </w:rPr>
              <w:t xml:space="preserve"> за отчетный период.</w:t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/>
            </w:pPr>
            <w:r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Empty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>
        <w:trPr/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Б.18</w:t>
            </w: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Общее количество жалоб, поданных контролируемыми лицами в досудебном порядке за отчетный период</w:t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Б.18 = </w:t>
            </w:r>
            <w:r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КЖДП)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Б.18 определяется как сумма </w:t>
            </w:r>
            <w:r>
              <w:rPr>
                <w:sz w:val="20"/>
                <w:szCs w:val="20"/>
              </w:rPr>
              <w:t xml:space="preserve">жалоб, поданных контролируемыми лицами в досудебном порядке </w:t>
            </w:r>
            <w:r>
              <w:rPr>
                <w:color w:val="000000" w:themeColor="text1"/>
                <w:sz w:val="20"/>
                <w:szCs w:val="20"/>
              </w:rPr>
              <w:t>(КЖДП)</w:t>
            </w:r>
            <w:r>
              <w:rPr>
                <w:sz w:val="20"/>
                <w:szCs w:val="20"/>
              </w:rPr>
              <w:t xml:space="preserve"> за отчетный период.</w:t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/>
            </w:pPr>
            <w:r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Empty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>
        <w:trPr/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Б.19</w:t>
            </w: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Количество жалоб, в отношении которых контрольным органом был нарушен срок рассмотрения, за отчетный период</w:t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Б.19 = </w:t>
            </w:r>
            <w:r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КЖНС)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Б.19 определяется как сумма </w:t>
            </w:r>
            <w:r>
              <w:rPr>
                <w:sz w:val="20"/>
                <w:szCs w:val="20"/>
              </w:rPr>
              <w:t xml:space="preserve">жалоб, в отношении которых контрольным органом был нарушен срок рассмотрения </w:t>
            </w:r>
            <w:r>
              <w:rPr>
                <w:color w:val="000000" w:themeColor="text1"/>
                <w:sz w:val="20"/>
                <w:szCs w:val="20"/>
              </w:rPr>
              <w:t>(КЖНС),</w:t>
            </w:r>
            <w:r>
              <w:rPr>
                <w:sz w:val="20"/>
                <w:szCs w:val="20"/>
              </w:rPr>
              <w:t xml:space="preserve"> за отчетный период.</w:t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/>
            </w:pPr>
            <w:r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Empty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>
        <w:trPr/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Б.20</w:t>
            </w: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Количество жалоб, поданных контролируемыми лицами в досудебном порядке, по итогам рассмотрения которых принято решение о полной либо частичной отмене решения контрольного органа либо о признании действий (бездействий) должностных лиц контрольного органа недействительными, за отчетный период</w:t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Б.20 = </w:t>
            </w:r>
            <w:r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КЖОР)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Б.20 определяется как сумма </w:t>
            </w:r>
            <w:r>
              <w:rPr>
                <w:sz w:val="20"/>
                <w:szCs w:val="20"/>
              </w:rPr>
              <w:t>жалоб, поданных контролируемыми лицами в досудебном порядке, по итогам рассмотрения которых принято решение о полной либо частичной отмене решения контрольного органа либо о признании действий (бездействий) должностных лиц контрольного органа недействительными</w:t>
            </w:r>
            <w:r>
              <w:rPr>
                <w:color w:val="000000" w:themeColor="text1"/>
                <w:sz w:val="20"/>
                <w:szCs w:val="20"/>
              </w:rPr>
              <w:t xml:space="preserve"> (КЖОР),</w:t>
            </w:r>
            <w:r>
              <w:rPr>
                <w:sz w:val="20"/>
                <w:szCs w:val="20"/>
              </w:rPr>
              <w:t xml:space="preserve"> за отчетный период.</w:t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/>
            </w:pPr>
            <w:r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Empty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>
        <w:trPr/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Б.21</w:t>
            </w: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Количество исковых заявлений об оспаривании решений, действий (бездействий) должностных лиц контрольного органа, направленных контролируемыми лицами в судебном порядке, за отчетный период</w:t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Б.21 = </w:t>
            </w:r>
            <w:r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КИЗ)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Б.21 определяется как сумма </w:t>
            </w:r>
            <w:r>
              <w:rPr>
                <w:sz w:val="20"/>
                <w:szCs w:val="20"/>
              </w:rPr>
              <w:t>исковых заявлений об оспаривании решений, действий (бездействий) должностных лиц контрольного органа, направленных контролируемыми лицами в судебном порядке</w:t>
            </w:r>
            <w:r>
              <w:rPr>
                <w:color w:val="000000" w:themeColor="text1"/>
                <w:sz w:val="20"/>
                <w:szCs w:val="20"/>
              </w:rPr>
              <w:t xml:space="preserve"> (КИЗ),</w:t>
            </w:r>
            <w:r>
              <w:rPr>
                <w:sz w:val="20"/>
                <w:szCs w:val="20"/>
              </w:rPr>
              <w:t xml:space="preserve"> за отчетный период.</w:t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/>
            </w:pPr>
            <w:r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Empty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>
        <w:trPr/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Б.22</w:t>
            </w: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Количество исковых заявлений об оспаривании решений, действий (бездействий) должностных лиц контрольного органа, направленных контролируемыми лицами в судебном порядке, по которым принято решение об удовлетворении заявленных требований, за отчетный период</w:t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Б.22 = </w:t>
            </w:r>
            <w:r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КУИЗ)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Б.22 определяется как сумма </w:t>
            </w:r>
            <w:r>
              <w:rPr>
                <w:sz w:val="20"/>
                <w:szCs w:val="20"/>
              </w:rPr>
              <w:t>исковых заявлений об оспаривании решений, действий (бездействий) должностных лиц контрольного органа, направленных контролируемыми лицами в судебном порядке, по которым принято решение об удовлетворении заявленных требований</w:t>
            </w:r>
            <w:r>
              <w:rPr>
                <w:color w:val="000000" w:themeColor="text1"/>
                <w:sz w:val="20"/>
                <w:szCs w:val="20"/>
              </w:rPr>
              <w:t xml:space="preserve"> (КУИЗ),</w:t>
            </w:r>
            <w:r>
              <w:rPr>
                <w:sz w:val="20"/>
                <w:szCs w:val="20"/>
              </w:rPr>
              <w:t xml:space="preserve"> за отчетный период.</w:t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/>
            </w:pPr>
            <w:r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Empty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>
        <w:trPr/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Б.23</w:t>
            </w: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Количество контрольных мероприятий, проведенных с грубым нарушением требований к организации и осуществлению муниципального контроля и результаты которых были признаны недействительными и (или) отменены, за отчетный период</w:t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Б.23 = </w:t>
            </w:r>
            <w:r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КМГНТ)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Б.23 определяется как сумма </w:t>
            </w:r>
            <w:r>
              <w:rPr>
                <w:sz w:val="20"/>
                <w:szCs w:val="20"/>
              </w:rPr>
              <w:t>контрольных мероприятий, проведенных с грубым нарушением требований к организации и осуществлению муниципального контроля и результаты которых были признаны недействительными и (или) отменены</w:t>
            </w:r>
            <w:r>
              <w:rPr>
                <w:color w:val="000000" w:themeColor="text1"/>
                <w:sz w:val="20"/>
                <w:szCs w:val="20"/>
              </w:rPr>
              <w:t xml:space="preserve"> (КМГНТ),</w:t>
            </w:r>
            <w:r>
              <w:rPr>
                <w:sz w:val="20"/>
                <w:szCs w:val="20"/>
              </w:rPr>
              <w:t xml:space="preserve"> за отчетный период.</w:t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/>
            </w:pPr>
            <w:r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Empty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>
        <w:trPr/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Б.24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 xml:space="preserve"> Вариант 1</w:t>
            </w:r>
            <w:r>
              <w:rPr>
                <w:rStyle w:val="FootnoteCharacters"/>
                <w:rStyle w:val="Style14"/>
                <w:color w:val="000000" w:themeColor="text1"/>
                <w:sz w:val="20"/>
                <w:szCs w:val="20"/>
              </w:rPr>
              <w:footnoteReference w:id="4"/>
            </w:r>
          </w:p>
          <w:p>
            <w:pPr>
              <w:pStyle w:val="S1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Normal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Количество штатных единиц, в должностные обязанности которых входит выполнение функций по осуществлению </w:t>
            </w:r>
            <w:r>
              <w:rPr>
                <w:color w:val="000000"/>
                <w:sz w:val="20"/>
                <w:szCs w:val="20"/>
              </w:rPr>
              <w:t>контроля в сфере благоустройства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Б.24 = </w:t>
            </w:r>
            <w:r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ШЕ)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Б.24 определяется как сумма штатных единиц (ШЕ), в должностные обязанности которых входит выполнение функций по осуществлению </w:t>
            </w:r>
            <w:r>
              <w:rPr>
                <w:color w:val="000000"/>
                <w:sz w:val="20"/>
                <w:szCs w:val="20"/>
              </w:rPr>
              <w:t>контроля в сфере благоустройства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___</w:t>
            </w:r>
          </w:p>
          <w:p>
            <w:pPr>
              <w:pStyle w:val="S16"/>
              <w:spacing w:beforeAutospacing="0" w:before="0" w:afterAutospacing="0" w:after="0"/>
              <w:jc w:val="center"/>
              <w:rPr>
                <w:i/>
                <w:i/>
                <w:iCs/>
                <w:color w:val="000000" w:themeColor="text1"/>
                <w:sz w:val="20"/>
                <w:szCs w:val="20"/>
              </w:rPr>
            </w:pPr>
            <w:r>
              <w:rPr>
                <w:i/>
                <w:iCs/>
                <w:color w:val="000000" w:themeColor="text1"/>
                <w:sz w:val="20"/>
                <w:szCs w:val="20"/>
              </w:rPr>
              <w:t>(устанавливается с учетом определенной штатной численности)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Empty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Штатное расписание и должностные инструкции</w:t>
            </w:r>
          </w:p>
        </w:tc>
      </w:tr>
      <w:tr>
        <w:trPr/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Б.24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 xml:space="preserve"> Вариант 2</w:t>
            </w:r>
            <w:r>
              <w:rPr>
                <w:rStyle w:val="FootnoteCharacters"/>
                <w:rStyle w:val="Style14"/>
                <w:color w:val="000000" w:themeColor="text1"/>
                <w:sz w:val="20"/>
                <w:szCs w:val="20"/>
              </w:rPr>
              <w:footnoteReference w:id="5"/>
            </w:r>
          </w:p>
          <w:p>
            <w:pPr>
              <w:pStyle w:val="S1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Доля затрат времени на </w:t>
            </w:r>
            <w:r>
              <w:rPr>
                <w:color w:val="000000"/>
                <w:sz w:val="20"/>
                <w:szCs w:val="20"/>
              </w:rPr>
              <w:t xml:space="preserve">контроль в сфере благоустройства </w:t>
            </w:r>
            <w:r>
              <w:rPr>
                <w:color w:val="000000" w:themeColor="text1"/>
                <w:sz w:val="20"/>
                <w:szCs w:val="20"/>
              </w:rPr>
              <w:t xml:space="preserve">штатной единицы, в должностные обязанности которой входит выполнение функций по осуществлению </w:t>
            </w:r>
            <w:r>
              <w:rPr>
                <w:color w:val="000000"/>
                <w:sz w:val="20"/>
                <w:szCs w:val="20"/>
              </w:rPr>
              <w:t>контроля в сфере благоустройства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Б.24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Б.24 определяется как доля посвященного </w:t>
            </w:r>
            <w:r>
              <w:rPr>
                <w:color w:val="000000"/>
                <w:sz w:val="20"/>
                <w:szCs w:val="20"/>
              </w:rPr>
              <w:t xml:space="preserve">контролю в сфере благоустройства </w:t>
            </w:r>
            <w:r>
              <w:rPr>
                <w:color w:val="000000" w:themeColor="text1"/>
                <w:sz w:val="20"/>
                <w:szCs w:val="20"/>
              </w:rPr>
              <w:t xml:space="preserve">трудового времени штатной единицы, в должностные обязанности которой входит выполнение функций по осуществлению </w:t>
            </w:r>
            <w:r>
              <w:rPr>
                <w:color w:val="000000"/>
                <w:sz w:val="20"/>
                <w:szCs w:val="20"/>
              </w:rPr>
              <w:t>контроля в сфере благоустройства</w:t>
            </w:r>
            <w:r>
              <w:rPr>
                <w:color w:val="000000" w:themeColor="text1"/>
                <w:sz w:val="20"/>
                <w:szCs w:val="20"/>
              </w:rPr>
              <w:t xml:space="preserve"> (определяется в процентах или в виде десятичной дроби) </w:t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___</w:t>
            </w:r>
          </w:p>
          <w:p>
            <w:pPr>
              <w:pStyle w:val="S16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i/>
                <w:iCs/>
                <w:color w:val="000000" w:themeColor="text1"/>
                <w:sz w:val="20"/>
                <w:szCs w:val="20"/>
              </w:rPr>
              <w:t>(устанавливается с учетом должностной инструкции и трудового договора)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Empty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Штатное расписание, должностная инструкция, трудовой договор</w:t>
            </w:r>
          </w:p>
        </w:tc>
      </w:tr>
      <w:tr>
        <w:trPr/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Б.25</w:t>
            </w: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Объем затрат местного бюджета на осуществление </w:t>
            </w:r>
            <w:r>
              <w:rPr>
                <w:color w:val="000000"/>
                <w:sz w:val="20"/>
                <w:szCs w:val="20"/>
              </w:rPr>
              <w:t xml:space="preserve">контроля в сфере благоустройства </w:t>
            </w:r>
            <w:r>
              <w:rPr>
                <w:color w:val="000000" w:themeColor="text1"/>
                <w:sz w:val="20"/>
                <w:szCs w:val="20"/>
              </w:rPr>
              <w:t>в год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Б.25 = ОТ + МТО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Б.25 определяется как сумма затрат в отчетном году на осуществление оплаты труда штатной единицы (штатных единиц), в должностные обязанности которой (которых) входит выполнение функций по осуществлению </w:t>
            </w:r>
            <w:r>
              <w:rPr>
                <w:color w:val="000000"/>
                <w:sz w:val="20"/>
                <w:szCs w:val="20"/>
              </w:rPr>
              <w:t>контроля в сфере благоустройства</w:t>
            </w:r>
            <w:r>
              <w:rPr>
                <w:color w:val="000000" w:themeColor="text1"/>
                <w:sz w:val="20"/>
                <w:szCs w:val="20"/>
              </w:rPr>
              <w:t xml:space="preserve">, включая суммы отчислений с фонда оплаты труда (ОТ), а также суммы затрат на материально-техническое обеспечение </w:t>
            </w:r>
            <w:r>
              <w:rPr>
                <w:color w:val="000000"/>
                <w:sz w:val="20"/>
                <w:szCs w:val="20"/>
              </w:rPr>
              <w:t xml:space="preserve">контроля в сфере благоустройства </w:t>
            </w:r>
            <w:r>
              <w:rPr>
                <w:color w:val="000000" w:themeColor="text1"/>
                <w:sz w:val="20"/>
                <w:szCs w:val="20"/>
              </w:rPr>
              <w:t>(МТО)</w:t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___</w:t>
            </w:r>
          </w:p>
          <w:p>
            <w:pPr>
              <w:pStyle w:val="S16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i/>
                <w:iCs/>
                <w:color w:val="000000" w:themeColor="text1"/>
                <w:sz w:val="20"/>
                <w:szCs w:val="20"/>
              </w:rPr>
              <w:t>(устанавливается с учетом штатного расписания, должностной инструкции и трудового договора, а также нормативов расходов на материально-техническое обеспечение труда, если они установлены)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Empty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Штатное расписание, должностная инструкция, трудовой договор</w:t>
            </w:r>
          </w:p>
        </w:tc>
      </w:tr>
      <w:tr>
        <w:trPr/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Б.26</w:t>
            </w: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Normal"/>
              <w:rPr>
                <w:color w:val="000000" w:themeColor="text1"/>
                <w:sz w:val="20"/>
                <w:szCs w:val="20"/>
                <w:highlight w:val="white"/>
              </w:rPr>
            </w:pPr>
            <w:r>
              <w:rPr>
                <w:color w:val="000000" w:themeColor="text1"/>
                <w:sz w:val="20"/>
                <w:szCs w:val="20"/>
                <w:shd w:fill="FFFFFF" w:val="clear"/>
              </w:rPr>
              <w:t xml:space="preserve">Количество составленных должностными лицами, осуществляющими </w:t>
            </w:r>
            <w:r>
              <w:rPr>
                <w:color w:val="000000"/>
                <w:sz w:val="20"/>
                <w:szCs w:val="20"/>
              </w:rPr>
              <w:t>контроль в сфере благоустройства</w:t>
            </w:r>
            <w:r>
              <w:rPr>
                <w:color w:val="000000" w:themeColor="text1"/>
                <w:sz w:val="20"/>
                <w:szCs w:val="20"/>
                <w:shd w:fill="FFFFFF" w:val="clear"/>
              </w:rPr>
              <w:t>, актов о воспрепятствовании их деятельности со стороны контролируемых лиц и (или) их представителей</w:t>
            </w:r>
          </w:p>
          <w:p>
            <w:pPr>
              <w:pStyle w:val="Normal"/>
              <w:rPr>
                <w:color w:val="000000" w:themeColor="text1"/>
                <w:sz w:val="20"/>
                <w:szCs w:val="20"/>
                <w:highlight w:val="white"/>
              </w:rPr>
            </w:pPr>
            <w:r>
              <w:rPr>
                <w:color w:val="000000" w:themeColor="text1"/>
                <w:sz w:val="20"/>
                <w:szCs w:val="20"/>
                <w:shd w:fill="FFFFFF" w:val="clear"/>
              </w:rPr>
            </w:r>
          </w:p>
          <w:p>
            <w:pPr>
              <w:pStyle w:val="Normal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  <w:shd w:fill="FFFFFF" w:val="clear"/>
              </w:rPr>
              <w:t xml:space="preserve"> </w:t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Б.26 = </w:t>
            </w:r>
            <w:r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АП)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Б.26 определяется как сумма </w:t>
            </w:r>
            <w:r>
              <w:rPr>
                <w:color w:val="000000" w:themeColor="text1"/>
                <w:sz w:val="20"/>
                <w:szCs w:val="20"/>
                <w:shd w:fill="FFFFFF" w:val="clear"/>
              </w:rPr>
              <w:t xml:space="preserve">составленных должностными лицами, осуществляющими </w:t>
            </w:r>
            <w:r>
              <w:rPr>
                <w:color w:val="000000"/>
                <w:sz w:val="20"/>
                <w:szCs w:val="20"/>
              </w:rPr>
              <w:t>контроль в сфере благоустройства</w:t>
            </w:r>
            <w:r>
              <w:rPr>
                <w:color w:val="000000" w:themeColor="text1"/>
                <w:sz w:val="20"/>
                <w:szCs w:val="20"/>
                <w:shd w:fill="FFFFFF" w:val="clear"/>
              </w:rPr>
              <w:t>, актов (АП) по фактам непредставления или несвоевременного представления контролируемым лицом документов и материалов, запрошенных при проведении контрольных мероприятий, невозможности провести опрос должностных лиц и (или) работников контролируемого лица, ограничения доступа в помещения, воспрепятствования иным мерам по осуществлению контрольного мероприятия</w:t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Целевое значение не устанавливается</w:t>
            </w:r>
          </w:p>
          <w:p>
            <w:pPr>
              <w:pStyle w:val="S16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Empty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Результаты осуществления </w:t>
            </w:r>
            <w:r>
              <w:rPr>
                <w:color w:val="000000"/>
                <w:sz w:val="20"/>
                <w:szCs w:val="20"/>
              </w:rPr>
              <w:t xml:space="preserve">контроля в сфере благоустройства </w:t>
            </w:r>
            <w:r>
              <w:rPr>
                <w:color w:val="000000" w:themeColor="text1"/>
                <w:sz w:val="20"/>
                <w:szCs w:val="20"/>
              </w:rPr>
              <w:t>в отчетном году</w:t>
            </w:r>
          </w:p>
        </w:tc>
      </w:tr>
      <w:tr>
        <w:trPr/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Б.27</w:t>
            </w: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Normal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  <w:shd w:fill="FFFFFF" w:val="clear"/>
              </w:rPr>
              <w:t>Удельный показатель</w:t>
            </w:r>
            <w:r>
              <w:rPr>
                <w:color w:val="000000" w:themeColor="text1"/>
                <w:sz w:val="20"/>
                <w:szCs w:val="20"/>
              </w:rPr>
              <w:t xml:space="preserve"> результативности, отражающий уровень минимизации вреда (ущерба) охраняемым законом ценностям, уровень устранения риска причинения вреда (ущерба) с учетом привлеченных для </w:t>
            </w:r>
            <w:r>
              <w:rPr>
                <w:color w:val="000000"/>
                <w:sz w:val="20"/>
                <w:szCs w:val="20"/>
              </w:rPr>
              <w:t xml:space="preserve">контроля в сфере благоустройства </w:t>
            </w:r>
            <w:r>
              <w:rPr>
                <w:color w:val="000000" w:themeColor="text1"/>
                <w:sz w:val="20"/>
                <w:szCs w:val="20"/>
              </w:rPr>
              <w:t>трудовых ресурсов</w:t>
            </w:r>
          </w:p>
          <w:p>
            <w:pPr>
              <w:pStyle w:val="Normal"/>
              <w:rPr>
                <w:color w:val="000000" w:themeColor="text1"/>
                <w:sz w:val="20"/>
                <w:szCs w:val="20"/>
                <w:highlight w:val="white"/>
              </w:rPr>
            </w:pPr>
            <w:r>
              <w:rPr>
                <w:color w:val="000000" w:themeColor="text1"/>
                <w:sz w:val="20"/>
                <w:szCs w:val="20"/>
                <w:shd w:fill="FFFFFF" w:val="clear"/>
              </w:rPr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Б.27 = (А.1 + А.2 + А.3 + А.4 + А.5) / Б.24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Составляющие формулы определены выше.</w:t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Значение показателя оценивается в динамике с предыдущими годами 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Целевое значение не устанавливается</w:t>
            </w:r>
          </w:p>
          <w:p>
            <w:pPr>
              <w:pStyle w:val="S16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Empty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На основании расчетов показателей, предусмотренных выше</w:t>
            </w:r>
          </w:p>
        </w:tc>
      </w:tr>
      <w:tr>
        <w:trPr/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Б.28</w:t>
            </w: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Normal"/>
              <w:rPr>
                <w:color w:val="000000" w:themeColor="text1"/>
                <w:sz w:val="20"/>
                <w:szCs w:val="20"/>
                <w:highlight w:val="white"/>
              </w:rPr>
            </w:pPr>
            <w:r>
              <w:rPr>
                <w:color w:val="000000" w:themeColor="text1"/>
                <w:sz w:val="20"/>
                <w:szCs w:val="20"/>
                <w:shd w:fill="FFFFFF" w:val="clear"/>
              </w:rPr>
              <w:t>Удельный показатель</w:t>
            </w:r>
            <w:r>
              <w:rPr>
                <w:color w:val="000000" w:themeColor="text1"/>
                <w:sz w:val="20"/>
                <w:szCs w:val="20"/>
              </w:rPr>
              <w:t xml:space="preserve"> результативности, отражающий уровень минимизации вреда (ущерба) охраняемым законом ценностям, уровень устранения риска причинения вреда (ущерба) с учетом объема затрат местного бюджета на осуществление </w:t>
            </w:r>
            <w:r>
              <w:rPr>
                <w:color w:val="000000"/>
                <w:sz w:val="20"/>
                <w:szCs w:val="20"/>
              </w:rPr>
              <w:t xml:space="preserve">контроля в сфере благоустройства </w:t>
            </w:r>
            <w:r>
              <w:rPr>
                <w:color w:val="000000" w:themeColor="text1"/>
                <w:sz w:val="20"/>
                <w:szCs w:val="20"/>
              </w:rPr>
              <w:t>в год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Б.28 = (А.1 + А.2 + А.3 + А.4 + А.5) / Б.25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Составляющие формулы определены выше.</w:t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Значение показателя оценивается в динамике с предыдущими годами 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Целевое значение не устанавливается</w:t>
            </w:r>
          </w:p>
          <w:p>
            <w:pPr>
              <w:pStyle w:val="S16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Empty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На основании расчетов показателей, предусмотренных выше</w:t>
            </w:r>
          </w:p>
        </w:tc>
      </w:tr>
    </w:tbl>
    <w:p>
      <w:pPr>
        <w:pStyle w:val="Normal"/>
        <w:spacing w:lineRule="exact" w:line="240"/>
        <w:rPr>
          <w:b/>
          <w:b/>
          <w:color w:val="000000" w:themeColor="text1"/>
        </w:rPr>
      </w:pPr>
      <w:r>
        <w:rPr>
          <w:b/>
          <w:color w:val="000000" w:themeColor="text1"/>
        </w:rPr>
      </w:r>
    </w:p>
    <w:p>
      <w:pPr>
        <w:pStyle w:val="Normal"/>
        <w:rPr/>
      </w:pPr>
      <w:r>
        <w:rPr/>
      </w:r>
    </w:p>
    <w:sectPr>
      <w:headerReference w:type="default" r:id="rId3"/>
      <w:footnotePr>
        <w:numFmt w:val="decimal"/>
      </w:footnotePr>
      <w:type w:val="nextPage"/>
      <w:pgSz w:w="11906" w:h="16838"/>
      <w:pgMar w:left="1701" w:right="850" w:header="708" w:top="1134" w:footer="0" w:bottom="1134" w:gutter="0"/>
      <w:pgNumType w:fmt="decimal"/>
      <w:formProt w:val="false"/>
      <w:titlePg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imes New Roman">
    <w:charset w:val="cc"/>
    <w:family w:val="roman"/>
    <w:pitch w:val="variable"/>
  </w:font>
  <w:font w:name="Calibri Light">
    <w:charset w:val="cc"/>
    <w:family w:val="roman"/>
    <w:pitch w:val="variable"/>
  </w:font>
  <w:font w:name="Segoe UI">
    <w:charset w:val="cc"/>
    <w:family w:val="roman"/>
    <w:pitch w:val="variable"/>
  </w:font>
  <w:font w:name="Liberation Sans">
    <w:altName w:val="Arial"/>
    <w:charset w:val="cc"/>
    <w:family w:val="swiss"/>
    <w:pitch w:val="variable"/>
  </w:font>
  <w:font w:name="Arial">
    <w:charset w:val="cc"/>
    <w:family w:val="roman"/>
    <w:pitch w:val="variable"/>
  </w:font>
</w:fonts>
</file>

<file path=word/footnotes.xml><?xml version="1.0" encoding="utf-8"?>
<w:footnotes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footnote w:id="0" w:type="separator">
    <w:p>
      <w:r>
        <w:separator/>
      </w:r>
    </w:p>
  </w:footnote>
  <w:footnote w:id="1" w:type="continuationSeparator">
    <w:p>
      <w:r>
        <w:continuationSeparator/>
      </w:r>
    </w:p>
  </w:footnote>
  <w:footnote w:id="2">
    <w:p>
      <w:pPr>
        <w:pStyle w:val="Style26"/>
        <w:jc w:val="both"/>
        <w:rPr/>
      </w:pPr>
      <w:r>
        <w:rPr>
          <w:rStyle w:val="Style18"/>
        </w:rPr>
        <w:footnoteRef/>
      </w:r>
      <w:r>
        <w:rPr/>
        <w:t xml:space="preserve"> </w:t>
      </w:r>
      <w:r>
        <w:rPr/>
        <w:t xml:space="preserve">Данный показатель устанавливается лишь в случае, если в соответствии с положением о данном виде контроля установлено проведение плановых контрольных мероприятий. В ином случае данный показатель подлежит исключению. </w:t>
      </w:r>
    </w:p>
  </w:footnote>
  <w:footnote w:id="3">
    <w:p>
      <w:pPr>
        <w:pStyle w:val="S16"/>
        <w:shd w:val="clear" w:color="auto" w:fill="FFFFFF"/>
        <w:spacing w:beforeAutospacing="0" w:before="0" w:afterAutospacing="0" w:after="0"/>
        <w:jc w:val="both"/>
        <w:rPr/>
      </w:pPr>
      <w:r>
        <w:rPr>
          <w:rStyle w:val="Style18"/>
        </w:rPr>
        <w:footnoteRef/>
      </w:r>
      <w:r>
        <w:rPr>
          <w:color w:val="000000" w:themeColor="text1"/>
          <w:sz w:val="20"/>
          <w:szCs w:val="20"/>
        </w:rPr>
        <w:t xml:space="preserve"> </w:t>
      </w:r>
      <w:r>
        <w:rPr>
          <w:color w:val="000000" w:themeColor="text1"/>
          <w:sz w:val="20"/>
          <w:szCs w:val="20"/>
        </w:rPr>
        <w:t xml:space="preserve">В соответствии с частью 4 статьи 52 Федерального закона от 31.07.2020 № 248-ФЗ «О государственном контроле (надзоре) и муниципальном контроле в Российской Федерации» </w:t>
      </w:r>
      <w:r>
        <w:rPr>
          <w:color w:val="000000" w:themeColor="text1"/>
          <w:sz w:val="20"/>
          <w:szCs w:val="20"/>
          <w:shd w:fill="FFFFFF" w:val="clear"/>
        </w:rPr>
        <w:t>проведение обязательных профилактических визитов должно быть предусмотрено в отношении объектов контроля, отнесенных к категориям чрезвычайно высокого, высокого и значительного риска. Если таких объектов в соответствии с положением о виде соответствующего контроля нет, показатель может быть исключен.</w:t>
      </w:r>
    </w:p>
  </w:footnote>
  <w:footnote w:id="4">
    <w:p>
      <w:pPr>
        <w:pStyle w:val="Style26"/>
        <w:jc w:val="both"/>
        <w:rPr/>
      </w:pPr>
      <w:r>
        <w:rPr>
          <w:rStyle w:val="Style18"/>
        </w:rPr>
        <w:footnoteRef/>
      </w:r>
      <w:r>
        <w:rPr/>
        <w:t xml:space="preserve"> </w:t>
      </w:r>
      <w:r>
        <w:rPr/>
        <w:t xml:space="preserve">Вариант 1 подходит тем муниципальным образованиям, в которых одно или более должностных лиц целиком вовлечены исключительно в осуществление </w:t>
      </w:r>
      <w:r>
        <w:rPr>
          <w:color w:val="000000"/>
        </w:rPr>
        <w:t>контроля в сфере благоустройства</w:t>
      </w:r>
      <w:r>
        <w:rPr/>
        <w:t>.</w:t>
      </w:r>
    </w:p>
  </w:footnote>
  <w:footnote w:id="5">
    <w:p>
      <w:pPr>
        <w:pStyle w:val="Style26"/>
        <w:jc w:val="both"/>
        <w:rPr/>
      </w:pPr>
      <w:r>
        <w:rPr>
          <w:rStyle w:val="Style18"/>
        </w:rPr>
        <w:footnoteRef/>
      </w:r>
      <w:r>
        <w:rPr/>
        <w:t xml:space="preserve"> </w:t>
      </w:r>
      <w:r>
        <w:rPr/>
        <w:t xml:space="preserve">Вариант 2 подходит тем муниципальным образованиям, в которых одно должностное лицо лишь частично вовлечено в осуществление </w:t>
      </w:r>
      <w:r>
        <w:rPr>
          <w:color w:val="000000"/>
        </w:rPr>
        <w:t>контроля в сфере благоустройства</w:t>
      </w:r>
      <w:r>
        <w:rPr/>
        <w:t xml:space="preserve">. Наряду с этими обязанностями за ним также закреплены обязанности в иных сферах муниципального контроля или обязанности, не связанные с муниципальным контролем. </w:t>
      </w:r>
    </w:p>
  </w:footnote>
</w:footnote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sdt>
    <w:sdtPr>
      <w:docPartObj>
        <w:docPartGallery w:val="Page Numbers (Top of Page)"/>
        <w:docPartUnique w:val="true"/>
      </w:docPartObj>
      <w:id w:val="874508295"/>
    </w:sdtPr>
    <w:sdtContent>
      <w:p>
        <w:pPr>
          <w:pStyle w:val="Style27"/>
          <w:rPr/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> PAGE </w:instrText>
        </w:r>
        <w:r>
          <w:rPr>
            <w:rStyle w:val="Pagenumber"/>
          </w:rPr>
          <w:fldChar w:fldCharType="separate"/>
        </w:r>
        <w:r>
          <w:rPr>
            <w:rStyle w:val="Pagenumber"/>
          </w:rPr>
          <w:t>11</w:t>
        </w:r>
        <w:r>
          <w:rPr>
            <w:rStyle w:val="Pagenumber"/>
          </w:rPr>
          <w:fldChar w:fldCharType="end"/>
        </w:r>
      </w:p>
    </w:sdtContent>
  </w:sdt>
  <w:p>
    <w:pPr>
      <w:pStyle w:val="Style27"/>
      <w:rPr/>
    </w:pPr>
    <w:r>
      <w:rPr/>
    </w:r>
  </w:p>
</w:hdr>
</file>

<file path=word/settings.xml><?xml version="1.0" encoding="utf-8"?>
<w:settings xmlns:w="http://schemas.openxmlformats.org/wordprocessingml/2006/main">
  <w:zoom w:percent="100"/>
  <w:defaultTabStop w:val="708"/>
  <w:footnotePr>
    <w:numFmt w:val="decimal"/>
    <w:footnote w:id="0"/>
    <w:footnote w:id="1"/>
  </w:foot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4"/>
        <w:szCs w:val="24"/>
        <w:lang w:val="ru-RU" w:eastAsia="en-U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e0758b"/>
    <w:pPr>
      <w:widowControl/>
      <w:bidi w:val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eastAsia="ru-RU" w:val="ru-RU" w:bidi="ar-SA"/>
    </w:rPr>
  </w:style>
  <w:style w:type="paragraph" w:styleId="1">
    <w:name w:val="Heading 1"/>
    <w:basedOn w:val="Normal"/>
    <w:next w:val="Normal"/>
    <w:link w:val="10"/>
    <w:uiPriority w:val="9"/>
    <w:qFormat/>
    <w:rsid w:val="008368e9"/>
    <w:pPr>
      <w:keepNext w:val="true"/>
      <w:spacing w:before="240" w:after="60"/>
      <w:outlineLvl w:val="0"/>
    </w:pPr>
    <w:rPr>
      <w:rFonts w:ascii="Calibri Light" w:hAnsi="Calibri Light"/>
      <w:b/>
      <w:bCs/>
      <w:kern w:val="2"/>
      <w:sz w:val="32"/>
      <w:szCs w:val="3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3" w:customStyle="1">
    <w:name w:val="Текст сноски Знак"/>
    <w:basedOn w:val="DefaultParagraphFont"/>
    <w:link w:val="a4"/>
    <w:uiPriority w:val="99"/>
    <w:semiHidden/>
    <w:qFormat/>
    <w:rsid w:val="00165f1f"/>
    <w:rPr>
      <w:rFonts w:ascii="Times New Roman" w:hAnsi="Times New Roman" w:eastAsia="Times New Roman" w:cs="Times New Roman"/>
      <w:sz w:val="20"/>
      <w:szCs w:val="20"/>
      <w:lang w:eastAsia="ru-RU"/>
    </w:rPr>
  </w:style>
  <w:style w:type="character" w:styleId="Style14">
    <w:name w:val="Привязка сноски"/>
    <w:rPr>
      <w:vertAlign w:val="superscript"/>
    </w:rPr>
  </w:style>
  <w:style w:type="character" w:styleId="FootnoteCharacters">
    <w:name w:val="Footnote Characters"/>
    <w:basedOn w:val="DefaultParagraphFont"/>
    <w:uiPriority w:val="99"/>
    <w:semiHidden/>
    <w:unhideWhenUsed/>
    <w:qFormat/>
    <w:rsid w:val="00165f1f"/>
    <w:rPr>
      <w:vertAlign w:val="superscript"/>
    </w:rPr>
  </w:style>
  <w:style w:type="character" w:styleId="Style15" w:customStyle="1">
    <w:name w:val="Верхний колонтитул Знак"/>
    <w:basedOn w:val="DefaultParagraphFont"/>
    <w:link w:val="a7"/>
    <w:uiPriority w:val="99"/>
    <w:qFormat/>
    <w:rsid w:val="0003374e"/>
    <w:rPr>
      <w:rFonts w:ascii="Times New Roman" w:hAnsi="Times New Roman" w:eastAsia="Times New Roman" w:cs="Times New Roman"/>
      <w:lang w:eastAsia="ru-RU"/>
    </w:rPr>
  </w:style>
  <w:style w:type="character" w:styleId="Style16" w:customStyle="1">
    <w:name w:val="Нижний колонтитул Знак"/>
    <w:basedOn w:val="DefaultParagraphFont"/>
    <w:link w:val="a9"/>
    <w:uiPriority w:val="99"/>
    <w:qFormat/>
    <w:rsid w:val="0003374e"/>
    <w:rPr>
      <w:rFonts w:ascii="Times New Roman" w:hAnsi="Times New Roman" w:eastAsia="Times New Roman" w:cs="Times New Roman"/>
      <w:lang w:eastAsia="ru-RU"/>
    </w:rPr>
  </w:style>
  <w:style w:type="character" w:styleId="Pagenumber">
    <w:name w:val="page number"/>
    <w:basedOn w:val="DefaultParagraphFont"/>
    <w:uiPriority w:val="99"/>
    <w:semiHidden/>
    <w:unhideWhenUsed/>
    <w:qFormat/>
    <w:rsid w:val="0003374e"/>
    <w:rPr/>
  </w:style>
  <w:style w:type="character" w:styleId="WW8Num1z4" w:customStyle="1">
    <w:name w:val="WW8Num1z4"/>
    <w:qFormat/>
    <w:rsid w:val="00901774"/>
    <w:rPr/>
  </w:style>
  <w:style w:type="character" w:styleId="2" w:customStyle="1">
    <w:name w:val="Основной текст 2 Знак"/>
    <w:basedOn w:val="DefaultParagraphFont"/>
    <w:link w:val="2"/>
    <w:uiPriority w:val="99"/>
    <w:qFormat/>
    <w:rsid w:val="00901774"/>
    <w:rPr>
      <w:rFonts w:ascii="Times New Roman" w:hAnsi="Times New Roman" w:eastAsia="Times New Roman" w:cs="Times New Roman"/>
      <w:lang w:eastAsia="ru-RU"/>
    </w:rPr>
  </w:style>
  <w:style w:type="character" w:styleId="11" w:customStyle="1">
    <w:name w:val="Заголовок 1 Знак"/>
    <w:basedOn w:val="DefaultParagraphFont"/>
    <w:link w:val="1"/>
    <w:uiPriority w:val="9"/>
    <w:qFormat/>
    <w:rsid w:val="008368e9"/>
    <w:rPr>
      <w:rFonts w:ascii="Calibri Light" w:hAnsi="Calibri Light" w:eastAsia="Times New Roman" w:cs="Times New Roman"/>
      <w:b/>
      <w:bCs/>
      <w:kern w:val="2"/>
      <w:sz w:val="32"/>
      <w:szCs w:val="32"/>
      <w:lang w:eastAsia="ru-RU"/>
    </w:rPr>
  </w:style>
  <w:style w:type="character" w:styleId="Style17" w:customStyle="1">
    <w:name w:val="Текст выноски Знак"/>
    <w:basedOn w:val="DefaultParagraphFont"/>
    <w:link w:val="ac"/>
    <w:uiPriority w:val="99"/>
    <w:semiHidden/>
    <w:qFormat/>
    <w:rsid w:val="00e4120a"/>
    <w:rPr>
      <w:rFonts w:ascii="Segoe UI" w:hAnsi="Segoe UI" w:eastAsia="Times New Roman" w:cs="Segoe UI"/>
      <w:sz w:val="18"/>
      <w:szCs w:val="18"/>
      <w:lang w:eastAsia="ru-RU"/>
    </w:rPr>
  </w:style>
  <w:style w:type="character" w:styleId="Style18">
    <w:name w:val="Символ сноски"/>
    <w:qFormat/>
    <w:rPr/>
  </w:style>
  <w:style w:type="character" w:styleId="Style19">
    <w:name w:val="Привязка концевой сноски"/>
    <w:rPr>
      <w:vertAlign w:val="superscript"/>
    </w:rPr>
  </w:style>
  <w:style w:type="character" w:styleId="Style20">
    <w:name w:val="Символ концевой сноски"/>
    <w:qFormat/>
    <w:rPr/>
  </w:style>
  <w:style w:type="paragraph" w:styleId="Style21">
    <w:name w:val="Заголовок"/>
    <w:basedOn w:val="Normal"/>
    <w:next w:val="Style22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22">
    <w:name w:val="Body Text"/>
    <w:basedOn w:val="Normal"/>
    <w:pPr>
      <w:spacing w:lineRule="auto" w:line="276" w:before="0" w:after="140"/>
    </w:pPr>
    <w:rPr/>
  </w:style>
  <w:style w:type="paragraph" w:styleId="Style23">
    <w:name w:val="List"/>
    <w:basedOn w:val="Style22"/>
    <w:pPr/>
    <w:rPr>
      <w:rFonts w:cs="Mangal"/>
    </w:rPr>
  </w:style>
  <w:style w:type="paragraph" w:styleId="Style24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25">
    <w:name w:val="Указатель"/>
    <w:basedOn w:val="Normal"/>
    <w:qFormat/>
    <w:pPr>
      <w:suppressLineNumbers/>
    </w:pPr>
    <w:rPr>
      <w:rFonts w:cs="Mangal"/>
    </w:rPr>
  </w:style>
  <w:style w:type="paragraph" w:styleId="ListParagraph">
    <w:name w:val="List Paragraph"/>
    <w:basedOn w:val="Normal"/>
    <w:uiPriority w:val="34"/>
    <w:qFormat/>
    <w:rsid w:val="00090886"/>
    <w:pPr>
      <w:spacing w:before="0" w:after="0"/>
      <w:ind w:left="720" w:hanging="0"/>
      <w:contextualSpacing/>
    </w:pPr>
    <w:rPr/>
  </w:style>
  <w:style w:type="paragraph" w:styleId="12" w:customStyle="1">
    <w:name w:val="Без интервала1"/>
    <w:qFormat/>
    <w:rsid w:val="0000240a"/>
    <w:pPr>
      <w:widowControl/>
      <w:suppressAutoHyphens w:val="true"/>
      <w:bidi w:val="0"/>
      <w:jc w:val="left"/>
    </w:pPr>
    <w:rPr>
      <w:rFonts w:ascii="Calibri" w:hAnsi="Calibri" w:eastAsia="Times New Roman" w:cs="Calibri" w:asciiTheme="minorHAnsi" w:hAnsiTheme="minorHAnsi"/>
      <w:color w:val="auto"/>
      <w:kern w:val="0"/>
      <w:sz w:val="22"/>
      <w:szCs w:val="22"/>
      <w:lang w:eastAsia="zh-CN" w:val="ru-RU" w:bidi="ar-SA"/>
    </w:rPr>
  </w:style>
  <w:style w:type="paragraph" w:styleId="ConsPlusNormal" w:customStyle="1">
    <w:name w:val="ConsPlusNormal"/>
    <w:uiPriority w:val="99"/>
    <w:qFormat/>
    <w:rsid w:val="00354979"/>
    <w:pPr>
      <w:widowControl/>
      <w:suppressAutoHyphens w:val="true"/>
      <w:bidi w:val="0"/>
      <w:ind w:firstLine="720"/>
      <w:jc w:val="left"/>
    </w:pPr>
    <w:rPr>
      <w:rFonts w:ascii="Arial" w:hAnsi="Arial" w:eastAsia="Times New Roman" w:cs="Arial"/>
      <w:color w:val="auto"/>
      <w:kern w:val="0"/>
      <w:sz w:val="20"/>
      <w:szCs w:val="20"/>
      <w:lang w:eastAsia="zh-CN" w:val="ru-RU" w:bidi="ar-SA"/>
    </w:rPr>
  </w:style>
  <w:style w:type="paragraph" w:styleId="S1" w:customStyle="1">
    <w:name w:val="s_1"/>
    <w:basedOn w:val="Normal"/>
    <w:qFormat/>
    <w:rsid w:val="00c762f7"/>
    <w:pPr>
      <w:spacing w:beforeAutospacing="1" w:afterAutospacing="1"/>
    </w:pPr>
    <w:rPr/>
  </w:style>
  <w:style w:type="paragraph" w:styleId="S16" w:customStyle="1">
    <w:name w:val="s_16"/>
    <w:basedOn w:val="Normal"/>
    <w:qFormat/>
    <w:rsid w:val="00c762f7"/>
    <w:pPr>
      <w:spacing w:beforeAutospacing="1" w:afterAutospacing="1"/>
    </w:pPr>
    <w:rPr/>
  </w:style>
  <w:style w:type="paragraph" w:styleId="Empty" w:customStyle="1">
    <w:name w:val="empty"/>
    <w:basedOn w:val="Normal"/>
    <w:qFormat/>
    <w:rsid w:val="00c762f7"/>
    <w:pPr>
      <w:spacing w:beforeAutospacing="1" w:afterAutospacing="1"/>
    </w:pPr>
    <w:rPr/>
  </w:style>
  <w:style w:type="paragraph" w:styleId="Style26">
    <w:name w:val="Footnote Text"/>
    <w:basedOn w:val="Normal"/>
    <w:link w:val="a5"/>
    <w:uiPriority w:val="99"/>
    <w:semiHidden/>
    <w:unhideWhenUsed/>
    <w:rsid w:val="00165f1f"/>
    <w:pPr/>
    <w:rPr>
      <w:sz w:val="20"/>
      <w:szCs w:val="20"/>
    </w:rPr>
  </w:style>
  <w:style w:type="paragraph" w:styleId="Style27">
    <w:name w:val="Header"/>
    <w:basedOn w:val="Normal"/>
    <w:link w:val="a8"/>
    <w:uiPriority w:val="99"/>
    <w:unhideWhenUsed/>
    <w:rsid w:val="0003374e"/>
    <w:pPr>
      <w:tabs>
        <w:tab w:val="clear" w:pos="708"/>
        <w:tab w:val="center" w:pos="4677" w:leader="none"/>
        <w:tab w:val="right" w:pos="9355" w:leader="none"/>
      </w:tabs>
    </w:pPr>
    <w:rPr/>
  </w:style>
  <w:style w:type="paragraph" w:styleId="Style28">
    <w:name w:val="Footer"/>
    <w:basedOn w:val="Normal"/>
    <w:link w:val="aa"/>
    <w:uiPriority w:val="99"/>
    <w:unhideWhenUsed/>
    <w:rsid w:val="0003374e"/>
    <w:pPr>
      <w:tabs>
        <w:tab w:val="clear" w:pos="708"/>
        <w:tab w:val="center" w:pos="4677" w:leader="none"/>
        <w:tab w:val="right" w:pos="9355" w:leader="none"/>
      </w:tabs>
    </w:pPr>
    <w:rPr/>
  </w:style>
  <w:style w:type="paragraph" w:styleId="BodyText2">
    <w:name w:val="Body Text 2"/>
    <w:basedOn w:val="Normal"/>
    <w:link w:val="20"/>
    <w:uiPriority w:val="99"/>
    <w:unhideWhenUsed/>
    <w:qFormat/>
    <w:rsid w:val="00901774"/>
    <w:pPr>
      <w:spacing w:lineRule="auto" w:line="480" w:before="0" w:after="120"/>
    </w:pPr>
    <w:rPr/>
  </w:style>
  <w:style w:type="paragraph" w:styleId="ConsPlusTitle" w:customStyle="1">
    <w:name w:val="ConsPlusTitle"/>
    <w:uiPriority w:val="99"/>
    <w:qFormat/>
    <w:rsid w:val="008368e9"/>
    <w:pPr>
      <w:widowControl w:val="false"/>
      <w:suppressAutoHyphens w:val="true"/>
      <w:bidi w:val="0"/>
      <w:jc w:val="left"/>
    </w:pPr>
    <w:rPr>
      <w:rFonts w:ascii="Calibri" w:hAnsi="Calibri" w:eastAsia="Calibri" w:cs="Calibri" w:asciiTheme="minorHAnsi" w:eastAsiaTheme="minorHAnsi" w:hAnsiTheme="minorHAnsi"/>
      <w:b/>
      <w:bCs/>
      <w:color w:val="auto"/>
      <w:kern w:val="0"/>
      <w:sz w:val="22"/>
      <w:szCs w:val="22"/>
      <w:lang w:eastAsia="zh-CN" w:val="ru-RU" w:bidi="ar-SA"/>
    </w:rPr>
  </w:style>
  <w:style w:type="paragraph" w:styleId="BalloonText">
    <w:name w:val="Balloon Text"/>
    <w:basedOn w:val="Normal"/>
    <w:link w:val="ad"/>
    <w:uiPriority w:val="99"/>
    <w:semiHidden/>
    <w:unhideWhenUsed/>
    <w:qFormat/>
    <w:rsid w:val="00e4120a"/>
    <w:pPr/>
    <w:rPr>
      <w:rFonts w:ascii="Segoe UI" w:hAnsi="Segoe UI" w:cs="Segoe UI"/>
      <w:sz w:val="18"/>
      <w:szCs w:val="18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eader" Target="header1.xml"/><Relationship Id="rId4" Type="http://schemas.openxmlformats.org/officeDocument/2006/relationships/footnotes" Target="footnotes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Application>LibreOffice/6.1.4.2$Windows_X86_64 LibreOffice_project/9d0f32d1f0b509096fd65e0d4bec26ddd1938fd3</Application>
  <Pages>11</Pages>
  <Words>2652</Words>
  <Characters>19442</Characters>
  <CharactersWithSpaces>22160</CharactersWithSpaces>
  <Paragraphs>289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2021-12-21T11:21:00Z</dcterms:created>
  <dc:creator>Дмитрий Славецкий</dc:creator>
  <dc:description/>
  <dc:language>ru-RU</dc:language>
  <cp:lastModifiedBy/>
  <cp:lastPrinted>2021-12-27T05:20:00Z</cp:lastPrinted>
  <dcterms:modified xsi:type="dcterms:W3CDTF">2022-06-21T14:17:41Z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