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1"/>
        <w:spacing w:lineRule="auto" w:line="240" w:before="0" w:after="0"/>
        <w:ind w:left="5400" w:right="0" w:hanging="5684"/>
        <w:jc w:val="center"/>
        <w:rPr>
          <w:rFonts w:ascii="Bookman Old Style" w:hAnsi="Bookman Old Style" w:cs="Bookman Old Style"/>
          <w:lang w:val="ru-RU" w:eastAsia="ru-RU"/>
        </w:rPr>
      </w:pPr>
      <w:r>
        <w:rPr>
          <w:rFonts w:eastAsia="Calibri" w:cs="Calibri"/>
          <w:lang w:val="ru-RU" w:eastAsia="ru-RU"/>
        </w:rPr>
        <w:t xml:space="preserve">    </w:t>
      </w:r>
      <w:r>
        <w:rPr/>
        <w:drawing>
          <wp:inline distT="0" distB="0" distL="0" distR="0">
            <wp:extent cx="711835" cy="875030"/>
            <wp:effectExtent l="0" t="0" r="0" b="0"/>
            <wp:docPr id="1" name="Изображение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-424" t="-343" r="-424" b="-34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1835" cy="875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pacing w:lineRule="auto" w:line="240" w:before="0" w:after="0"/>
        <w:rPr>
          <w:rFonts w:ascii="Bookman Old Style" w:hAnsi="Bookman Old Style" w:cs="Bookman Old Style"/>
          <w:lang w:val="ru-RU" w:eastAsia="ru-RU"/>
        </w:rPr>
      </w:pPr>
      <w:r>
        <w:rPr>
          <w:rFonts w:cs="Bookman Old Style" w:ascii="Bookman Old Style" w:hAnsi="Bookman Old Style"/>
          <w:lang w:val="ru-RU" w:eastAsia="ru-RU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Calibri" w:cs="Times New Roman"/>
          <w:b/>
          <w:b/>
          <w:bCs/>
        </w:rPr>
      </w:pPr>
      <w:r>
        <w:rPr>
          <w:rFonts w:eastAsia="Calibri" w:cs="Times New Roman" w:ascii="Times New Roman" w:hAnsi="Times New Roman"/>
          <w:b/>
          <w:bCs/>
        </w:rPr>
        <w:t>РОССИЙСКАЯ ФЕДЕРАЦИЯ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Calibri" w:cs="Times New Roman"/>
          <w:b/>
          <w:b/>
          <w:bCs/>
        </w:rPr>
      </w:pPr>
      <w:r>
        <w:rPr>
          <w:rFonts w:eastAsia="Calibri" w:cs="Times New Roman" w:ascii="Times New Roman" w:hAnsi="Times New Roman"/>
          <w:b/>
          <w:bCs/>
        </w:rPr>
        <w:t>АДМИНИСТРАЦИЯ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Calibri" w:cs="Times New Roman"/>
          <w:b/>
          <w:b/>
          <w:bCs/>
        </w:rPr>
      </w:pPr>
      <w:r>
        <w:rPr>
          <w:rFonts w:eastAsia="Calibri" w:cs="Times New Roman" w:ascii="Times New Roman" w:hAnsi="Times New Roman"/>
          <w:b/>
          <w:bCs/>
        </w:rPr>
        <w:t>СЕЛЬСКОГО ПОСЕЛЕНИЯ ВЕРНЕЕ САНЧЕЛЕЕВО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Calibri" w:cs="Times New Roman"/>
          <w:b/>
          <w:b/>
          <w:bCs/>
        </w:rPr>
      </w:pPr>
      <w:r>
        <w:rPr>
          <w:rFonts w:eastAsia="Calibri" w:cs="Times New Roman" w:ascii="Times New Roman" w:hAnsi="Times New Roman"/>
          <w:b/>
          <w:bCs/>
        </w:rPr>
        <w:t>МУНИЦИПАЛЬНОГО РАЙОНА СТАВРОПОЛЬСКИЙ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Calibri" w:cs="Times New Roman"/>
          <w:b/>
          <w:b/>
          <w:bCs/>
        </w:rPr>
      </w:pPr>
      <w:r>
        <w:rPr>
          <w:rFonts w:eastAsia="Calibri" w:cs="Times New Roman" w:ascii="Times New Roman" w:hAnsi="Times New Roman"/>
          <w:b/>
          <w:bCs/>
        </w:rPr>
        <w:t>САМАРСКОЙ ОБЛАСТИ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Calibri" w:cs="Times New Roman"/>
          <w:b/>
          <w:b/>
          <w:bCs/>
        </w:rPr>
      </w:pPr>
      <w:r>
        <w:rPr>
          <w:rFonts w:eastAsia="Calibri" w:cs="Times New Roman" w:ascii="Times New Roman" w:hAnsi="Times New Roman"/>
          <w:b/>
          <w:bCs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Calibri" w:cs="Times New Roman"/>
          <w:b/>
          <w:b/>
          <w:bCs/>
        </w:rPr>
      </w:pPr>
      <w:r>
        <w:rPr>
          <w:rFonts w:eastAsia="Calibri" w:cs="Times New Roman" w:ascii="Times New Roman" w:hAnsi="Times New Roman"/>
          <w:b/>
          <w:bCs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Calibri" w:cs="Times New Roman"/>
          <w:b/>
          <w:b/>
          <w:bCs/>
        </w:rPr>
      </w:pPr>
      <w:r>
        <w:rPr>
          <w:rFonts w:eastAsia="Calibri" w:cs="Times New Roman" w:ascii="Times New Roman" w:hAnsi="Times New Roman"/>
          <w:b/>
          <w:bCs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Calibri" w:cs="Times New Roman"/>
          <w:b/>
          <w:b/>
          <w:bCs/>
        </w:rPr>
      </w:pPr>
      <w:r>
        <w:rPr>
          <w:rFonts w:eastAsia="Calibri" w:cs="Times New Roman" w:ascii="Times New Roman" w:hAnsi="Times New Roman"/>
          <w:b/>
          <w:bCs/>
        </w:rPr>
        <w:t>ПОСТАНОВЛЕНИЕ</w:t>
      </w:r>
    </w:p>
    <w:p>
      <w:pPr>
        <w:pStyle w:val="Normal"/>
        <w:spacing w:before="0" w:after="28"/>
        <w:ind w:left="284" w:right="0" w:hanging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«</w:t>
      </w:r>
      <w:r>
        <w:rPr>
          <w:rFonts w:cs="Times New Roman" w:ascii="Times New Roman" w:hAnsi="Times New Roman"/>
          <w:b/>
          <w:sz w:val="24"/>
          <w:szCs w:val="24"/>
        </w:rPr>
        <w:t>26</w:t>
      </w:r>
      <w:r>
        <w:rPr>
          <w:rFonts w:cs="Times New Roman" w:ascii="Times New Roman" w:hAnsi="Times New Roman"/>
          <w:b/>
          <w:sz w:val="24"/>
          <w:szCs w:val="24"/>
        </w:rPr>
        <w:t xml:space="preserve">» </w:t>
      </w:r>
      <w:r>
        <w:rPr>
          <w:rFonts w:cs="Times New Roman" w:ascii="Times New Roman" w:hAnsi="Times New Roman"/>
          <w:b/>
          <w:sz w:val="24"/>
          <w:szCs w:val="24"/>
        </w:rPr>
        <w:t>августа</w:t>
      </w:r>
      <w:r>
        <w:rPr>
          <w:rFonts w:cs="Times New Roman" w:ascii="Times New Roman" w:hAnsi="Times New Roman"/>
          <w:b/>
          <w:sz w:val="24"/>
          <w:szCs w:val="24"/>
        </w:rPr>
        <w:t xml:space="preserve"> 2024 года                                                  </w:t>
        <w:tab/>
        <w:tab/>
        <w:t xml:space="preserve">                                   №  </w:t>
      </w:r>
      <w:r>
        <w:rPr>
          <w:rFonts w:cs="Times New Roman" w:ascii="Times New Roman" w:hAnsi="Times New Roman"/>
          <w:b/>
          <w:sz w:val="24"/>
          <w:szCs w:val="24"/>
        </w:rPr>
        <w:t>54/1</w:t>
      </w:r>
    </w:p>
    <w:p>
      <w:pPr>
        <w:pStyle w:val="Normal"/>
        <w:spacing w:before="0" w:after="28"/>
        <w:ind w:left="284" w:right="0" w:hanging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before="0" w:after="28"/>
        <w:ind w:left="284" w:right="0" w:hanging="0"/>
        <w:jc w:val="center"/>
        <w:rPr>
          <w:rFonts w:ascii="Times New Roman" w:hAnsi="Times New Roman" w:cs="Times New Roman"/>
          <w:b/>
          <w:b/>
          <w:bCs/>
          <w:sz w:val="26"/>
          <w:szCs w:val="26"/>
          <w:lang w:eastAsia="ru-RU"/>
        </w:rPr>
      </w:pPr>
      <w:r>
        <w:rPr>
          <w:rFonts w:cs="Times New Roman" w:ascii="Times New Roman" w:hAnsi="Times New Roman"/>
          <w:b/>
          <w:bCs/>
          <w:sz w:val="26"/>
          <w:szCs w:val="26"/>
          <w:lang w:eastAsia="ru-RU"/>
        </w:rPr>
        <w:t xml:space="preserve">Об отнесении земельных участков с кадастровыми номерами 63:32:0000000:8718, 63:32:0505010:110, 63:32:0000000:8726 к землям особо охраняемых территорий местного значения с видом разрешенного использования </w:t>
      </w:r>
    </w:p>
    <w:p>
      <w:pPr>
        <w:pStyle w:val="Normal"/>
        <w:spacing w:before="0" w:after="28"/>
        <w:ind w:left="284" w:right="0" w:hanging="0"/>
        <w:jc w:val="center"/>
        <w:rPr>
          <w:rFonts w:ascii="Times New Roman" w:hAnsi="Times New Roman" w:cs="Times New Roman"/>
          <w:b/>
          <w:b/>
          <w:bCs/>
          <w:sz w:val="26"/>
          <w:szCs w:val="26"/>
          <w:lang w:eastAsia="ru-RU"/>
        </w:rPr>
      </w:pPr>
      <w:r>
        <w:rPr>
          <w:rFonts w:cs="Times New Roman" w:ascii="Times New Roman" w:hAnsi="Times New Roman"/>
          <w:b/>
          <w:bCs/>
          <w:sz w:val="26"/>
          <w:szCs w:val="26"/>
          <w:lang w:eastAsia="ru-RU"/>
        </w:rPr>
        <w:t>"земли рекреационного назначения"</w:t>
      </w:r>
    </w:p>
    <w:p>
      <w:pPr>
        <w:pStyle w:val="Normal"/>
        <w:spacing w:before="0" w:after="28"/>
        <w:ind w:left="284" w:right="0" w:hanging="0"/>
        <w:jc w:val="center"/>
        <w:rPr>
          <w:rFonts w:ascii="Times New Roman" w:hAnsi="Times New Roman" w:cs="Times New Roman"/>
          <w:b/>
          <w:b/>
          <w:bCs/>
          <w:sz w:val="26"/>
          <w:szCs w:val="26"/>
          <w:lang w:eastAsia="ru-RU"/>
        </w:rPr>
      </w:pPr>
      <w:r>
        <w:rPr>
          <w:rFonts w:cs="Times New Roman" w:ascii="Times New Roman" w:hAnsi="Times New Roman"/>
          <w:b/>
          <w:bCs/>
          <w:sz w:val="26"/>
          <w:szCs w:val="26"/>
          <w:lang w:eastAsia="ru-RU"/>
        </w:rPr>
      </w:r>
    </w:p>
    <w:p>
      <w:pPr>
        <w:pStyle w:val="Normal"/>
        <w:spacing w:before="0" w:after="28"/>
        <w:ind w:left="284" w:right="0" w:hanging="0"/>
        <w:jc w:val="both"/>
        <w:rPr>
          <w:rFonts w:ascii="Times New Roman" w:hAnsi="Times New Roman" w:cs="Times New Roman"/>
          <w:b w:val="false"/>
          <w:b w:val="false"/>
          <w:bCs w:val="false"/>
          <w:sz w:val="26"/>
          <w:szCs w:val="26"/>
          <w:lang w:eastAsia="ru-RU"/>
        </w:rPr>
      </w:pPr>
      <w:r>
        <w:rPr>
          <w:rFonts w:cs="Times New Roman" w:ascii="Times New Roman" w:hAnsi="Times New Roman"/>
          <w:b w:val="false"/>
          <w:bCs w:val="false"/>
          <w:sz w:val="26"/>
          <w:szCs w:val="26"/>
          <w:lang w:eastAsia="ru-RU"/>
        </w:rPr>
        <w:t xml:space="preserve">В соответствии с Федеральным законом от 21 декабря 2004 года №172-ФЗ "О переводе земель или земельных участков из одной категории в другую", Земельным кодексом Российской Федерации, Федеральным законом от 14 марта 1995 года №33-ФЗ "Об особо охраняемых природных территориях", Постановлением Правительства Российской Федерации от 25 декабря 2014 года №1498 "Об утверждении правил отнесения земель к особо охраняемым территориям местного значения", </w:t>
      </w:r>
      <w:r>
        <w:rPr>
          <w:rFonts w:cs="Times New Roman" w:ascii="Times New Roman" w:hAnsi="Times New Roman"/>
          <w:b w:val="false"/>
          <w:bCs w:val="false"/>
          <w:sz w:val="26"/>
          <w:szCs w:val="26"/>
          <w:lang w:eastAsia="ru-RU"/>
        </w:rPr>
        <w:t xml:space="preserve">постановления администрации сельского поселения Верхнее Санчелеево муниципального района Ставропольский самарской области от  21 ноября 2023 № 54 «Об утверждении Порядка отнесения земель к землям особо охраняемых территорий местного значения, их использования и охраны в сельском поселении Верхнее Санчелеево муниципального района Ставропольский Самарской области», </w:t>
      </w:r>
      <w:r>
        <w:rPr>
          <w:rFonts w:cs="Times New Roman" w:ascii="Times New Roman" w:hAnsi="Times New Roman"/>
          <w:b w:val="false"/>
          <w:bCs w:val="false"/>
          <w:sz w:val="26"/>
          <w:szCs w:val="26"/>
          <w:lang w:eastAsia="ru-RU"/>
        </w:rPr>
        <w:t xml:space="preserve">руководствуясь Уставом сельского поселения Верхнее Санчелеево муниципального района Ставропольский Самарской области, а также в целях охраны природных ресурсов и создания условий для развития рекреационной зоны сельского поселения Верхнее Санчелеево, администрация сельского поселения </w:t>
      </w:r>
    </w:p>
    <w:p>
      <w:pPr>
        <w:pStyle w:val="Normal"/>
        <w:spacing w:before="0" w:after="28"/>
        <w:ind w:left="709" w:firstLine="567"/>
        <w:jc w:val="center"/>
        <w:rPr>
          <w:rFonts w:ascii="Times New Roman" w:hAnsi="Times New Roman" w:cs="Times New Roman"/>
          <w:b w:val="false"/>
          <w:b w:val="false"/>
          <w:bCs w:val="false"/>
          <w:sz w:val="26"/>
          <w:szCs w:val="26"/>
          <w:lang w:eastAsia="ru-RU"/>
        </w:rPr>
      </w:pPr>
      <w:r>
        <w:rPr>
          <w:rFonts w:cs="Times New Roman" w:ascii="Times New Roman" w:hAnsi="Times New Roman"/>
          <w:b/>
          <w:bCs/>
          <w:sz w:val="28"/>
          <w:szCs w:val="28"/>
          <w:lang w:eastAsia="ru-RU"/>
        </w:rPr>
        <w:t>ПОСТАНОВЛЯЕТ:</w:t>
      </w:r>
    </w:p>
    <w:p>
      <w:pPr>
        <w:pStyle w:val="Normal"/>
        <w:spacing w:before="0" w:after="28"/>
        <w:ind w:left="284" w:right="0" w:hanging="0"/>
        <w:jc w:val="both"/>
        <w:rPr>
          <w:rFonts w:ascii="Times New Roman" w:hAnsi="Times New Roman" w:cs="Times New Roman"/>
          <w:b w:val="false"/>
          <w:b w:val="false"/>
          <w:bCs w:val="false"/>
          <w:sz w:val="26"/>
          <w:szCs w:val="26"/>
          <w:lang w:eastAsia="ru-RU"/>
        </w:rPr>
      </w:pPr>
      <w:r>
        <w:rPr>
          <w:rFonts w:cs="Times New Roman" w:ascii="Times New Roman" w:hAnsi="Times New Roman"/>
          <w:b w:val="false"/>
          <w:bCs w:val="false"/>
          <w:sz w:val="26"/>
          <w:szCs w:val="26"/>
          <w:lang w:eastAsia="ru-RU"/>
        </w:rPr>
      </w:r>
    </w:p>
    <w:p>
      <w:pPr>
        <w:pStyle w:val="Normal"/>
        <w:spacing w:before="0" w:after="28"/>
        <w:ind w:left="284" w:right="0" w:hanging="0"/>
        <w:jc w:val="both"/>
        <w:rPr>
          <w:rFonts w:ascii="Times New Roman" w:hAnsi="Times New Roman" w:cs="Times New Roman"/>
          <w:b w:val="false"/>
          <w:b w:val="false"/>
          <w:bCs w:val="false"/>
          <w:sz w:val="26"/>
          <w:szCs w:val="26"/>
          <w:lang w:eastAsia="ru-RU"/>
        </w:rPr>
      </w:pPr>
      <w:r>
        <w:rPr>
          <w:rFonts w:cs="Times New Roman" w:ascii="Times New Roman" w:hAnsi="Times New Roman"/>
          <w:b w:val="false"/>
          <w:bCs w:val="false"/>
          <w:sz w:val="26"/>
          <w:szCs w:val="26"/>
          <w:lang w:eastAsia="ru-RU"/>
        </w:rPr>
        <w:t>1. Отнести следующие земельные участки к землям особо охраняемых территорий местного значения с видом разрешенного использования "земли рекреационного назначения":</w:t>
      </w:r>
    </w:p>
    <w:p>
      <w:pPr>
        <w:pStyle w:val="Normal"/>
        <w:spacing w:before="0" w:after="28"/>
        <w:ind w:left="284" w:right="0" w:hanging="0"/>
        <w:jc w:val="both"/>
        <w:rPr>
          <w:rFonts w:ascii="Times New Roman" w:hAnsi="Times New Roman" w:cs="Times New Roman"/>
          <w:b w:val="false"/>
          <w:b w:val="false"/>
          <w:bCs w:val="false"/>
          <w:sz w:val="26"/>
          <w:szCs w:val="26"/>
          <w:lang w:eastAsia="ru-RU"/>
        </w:rPr>
      </w:pPr>
      <w:r>
        <w:rPr>
          <w:rFonts w:cs="Times New Roman" w:ascii="Times New Roman" w:hAnsi="Times New Roman"/>
          <w:b w:val="false"/>
          <w:bCs w:val="false"/>
          <w:sz w:val="26"/>
          <w:szCs w:val="26"/>
          <w:lang w:eastAsia="ru-RU"/>
        </w:rPr>
        <w:tab/>
        <w:tab/>
      </w:r>
      <w:r>
        <w:rPr>
          <w:rFonts w:cs="Times New Roman" w:ascii="Times New Roman" w:hAnsi="Times New Roman"/>
          <w:b/>
          <w:bCs/>
          <w:sz w:val="26"/>
          <w:szCs w:val="26"/>
          <w:lang w:eastAsia="ru-RU"/>
        </w:rPr>
        <w:t>земельный участок с кадастровым номером 63:32:0000000:8718</w:t>
      </w:r>
      <w:r>
        <w:rPr>
          <w:rFonts w:cs="Times New Roman" w:ascii="Times New Roman" w:hAnsi="Times New Roman"/>
          <w:b w:val="false"/>
          <w:bCs w:val="false"/>
          <w:sz w:val="26"/>
          <w:szCs w:val="26"/>
          <w:lang w:eastAsia="ru-RU"/>
        </w:rPr>
        <w:t>, общей площадью 135 159 кв. м, местоположение: Российская Федерация, Самарская область, муниципальный район Ставропольский, в границах бывшего колхоза "Правда", в 1,0 км к северо-востоку от н.п. Верхнее Санчелеево, северо-западная часть кадастрового квартала 63:32:0503005;</w:t>
      </w:r>
    </w:p>
    <w:p>
      <w:pPr>
        <w:pStyle w:val="Normal"/>
        <w:spacing w:before="0" w:after="28"/>
        <w:ind w:left="284" w:right="0" w:hanging="0"/>
        <w:jc w:val="both"/>
        <w:rPr>
          <w:rFonts w:ascii="Times New Roman" w:hAnsi="Times New Roman" w:cs="Times New Roman"/>
          <w:b w:val="false"/>
          <w:b w:val="false"/>
          <w:bCs w:val="false"/>
          <w:sz w:val="26"/>
          <w:szCs w:val="26"/>
          <w:lang w:eastAsia="ru-RU"/>
        </w:rPr>
      </w:pPr>
      <w:r>
        <w:rPr>
          <w:rFonts w:cs="Times New Roman" w:ascii="Times New Roman" w:hAnsi="Times New Roman"/>
          <w:b/>
          <w:bCs/>
          <w:sz w:val="26"/>
          <w:szCs w:val="26"/>
          <w:lang w:eastAsia="ru-RU"/>
        </w:rPr>
        <w:tab/>
        <w:tab/>
        <w:t>земельный участок с кадастровым номером 63:32:0505010:110</w:t>
      </w:r>
      <w:r>
        <w:rPr>
          <w:rFonts w:cs="Times New Roman" w:ascii="Times New Roman" w:hAnsi="Times New Roman"/>
          <w:b w:val="false"/>
          <w:bCs w:val="false"/>
          <w:sz w:val="26"/>
          <w:szCs w:val="26"/>
          <w:lang w:eastAsia="ru-RU"/>
        </w:rPr>
        <w:t>, общей площадью 5 868 кв. м, местоположение: Российская Федерация, Самарская область, муниципальный район Ставропольский, в границах бывшего колхоза "Правда", в 1,8 км к северо-востоку от н.п. Верхнее Санчелеево, северная часть кадастрового квартала 63:32:0505010 ;</w:t>
      </w:r>
    </w:p>
    <w:p>
      <w:pPr>
        <w:pStyle w:val="Normal"/>
        <w:spacing w:before="0" w:after="28"/>
        <w:ind w:left="284" w:right="0" w:hanging="0"/>
        <w:jc w:val="both"/>
        <w:rPr>
          <w:rFonts w:ascii="Times New Roman" w:hAnsi="Times New Roman" w:cs="Times New Roman"/>
          <w:b w:val="false"/>
          <w:b w:val="false"/>
          <w:bCs w:val="false"/>
          <w:sz w:val="26"/>
          <w:szCs w:val="26"/>
          <w:lang w:eastAsia="ru-RU"/>
        </w:rPr>
      </w:pPr>
      <w:r>
        <w:rPr>
          <w:rFonts w:cs="Times New Roman" w:ascii="Times New Roman" w:hAnsi="Times New Roman"/>
          <w:b w:val="false"/>
          <w:bCs w:val="false"/>
          <w:sz w:val="26"/>
          <w:szCs w:val="26"/>
          <w:lang w:eastAsia="ru-RU"/>
        </w:rPr>
      </w:r>
    </w:p>
    <w:p>
      <w:pPr>
        <w:pStyle w:val="Normal"/>
        <w:spacing w:before="0" w:after="28"/>
        <w:ind w:left="284" w:right="0" w:hanging="0"/>
        <w:jc w:val="both"/>
        <w:rPr>
          <w:rFonts w:ascii="Times New Roman" w:hAnsi="Times New Roman" w:cs="Times New Roman"/>
          <w:b w:val="false"/>
          <w:b w:val="false"/>
          <w:bCs w:val="false"/>
          <w:sz w:val="26"/>
          <w:szCs w:val="26"/>
          <w:lang w:eastAsia="ru-RU"/>
        </w:rPr>
      </w:pPr>
      <w:r>
        <w:rPr>
          <w:rFonts w:cs="Times New Roman" w:ascii="Times New Roman" w:hAnsi="Times New Roman"/>
          <w:b w:val="false"/>
          <w:bCs w:val="false"/>
          <w:sz w:val="26"/>
          <w:szCs w:val="26"/>
          <w:lang w:eastAsia="ru-RU"/>
        </w:rPr>
        <w:tab/>
        <w:tab/>
      </w:r>
      <w:r>
        <w:rPr>
          <w:rFonts w:cs="Times New Roman" w:ascii="Times New Roman" w:hAnsi="Times New Roman"/>
          <w:b/>
          <w:bCs/>
          <w:sz w:val="26"/>
          <w:szCs w:val="26"/>
          <w:lang w:eastAsia="ru-RU"/>
        </w:rPr>
        <w:t>земельный участок с кадастровым номером 63:32:0000000:8726</w:t>
      </w:r>
      <w:r>
        <w:rPr>
          <w:rFonts w:cs="Times New Roman" w:ascii="Times New Roman" w:hAnsi="Times New Roman"/>
          <w:b w:val="false"/>
          <w:bCs w:val="false"/>
          <w:sz w:val="26"/>
          <w:szCs w:val="26"/>
          <w:lang w:eastAsia="ru-RU"/>
        </w:rPr>
        <w:t>, общей площадью 365 374 кв. м,  местоположение: Российская Федерация, Самарская область, муниципальный район Ставропольский, в границах бывшего колхоза "Правда", в 0,8 км к востоку от н.п. Верхнее Санчелеево, северо-западная часть кадастрового квартала 63:32:0505010.</w:t>
      </w:r>
    </w:p>
    <w:p>
      <w:pPr>
        <w:pStyle w:val="Normal"/>
        <w:spacing w:before="0" w:after="28"/>
        <w:ind w:left="284" w:right="0" w:hanging="0"/>
        <w:jc w:val="both"/>
        <w:rPr>
          <w:rFonts w:ascii="Times New Roman" w:hAnsi="Times New Roman" w:cs="Times New Roman"/>
          <w:b w:val="false"/>
          <w:b w:val="false"/>
          <w:bCs w:val="false"/>
          <w:sz w:val="26"/>
          <w:szCs w:val="26"/>
          <w:lang w:eastAsia="ru-RU"/>
        </w:rPr>
      </w:pPr>
      <w:r>
        <w:rPr>
          <w:rFonts w:cs="Times New Roman" w:ascii="Times New Roman" w:hAnsi="Times New Roman"/>
          <w:b w:val="false"/>
          <w:bCs w:val="false"/>
          <w:sz w:val="26"/>
          <w:szCs w:val="26"/>
          <w:lang w:eastAsia="ru-RU"/>
        </w:rPr>
      </w:r>
    </w:p>
    <w:p>
      <w:pPr>
        <w:pStyle w:val="Normal"/>
        <w:spacing w:before="0" w:after="28"/>
        <w:ind w:left="284" w:right="0" w:hanging="0"/>
        <w:jc w:val="both"/>
        <w:rPr>
          <w:rFonts w:ascii="Times New Roman" w:hAnsi="Times New Roman" w:cs="Times New Roman"/>
          <w:b w:val="false"/>
          <w:b w:val="false"/>
          <w:bCs w:val="false"/>
          <w:sz w:val="26"/>
          <w:szCs w:val="26"/>
          <w:lang w:eastAsia="ru-RU"/>
        </w:rPr>
      </w:pPr>
      <w:r>
        <w:rPr>
          <w:rFonts w:cs="Times New Roman" w:ascii="Times New Roman" w:hAnsi="Times New Roman"/>
          <w:b w:val="false"/>
          <w:bCs w:val="false"/>
          <w:sz w:val="26"/>
          <w:szCs w:val="26"/>
          <w:lang w:eastAsia="ru-RU"/>
        </w:rPr>
        <w:t>2. Установить, что земельные участки, отнесенные к землям особо охраняемых территорий местного значения, имеют следующие цели:</w:t>
      </w:r>
    </w:p>
    <w:p>
      <w:pPr>
        <w:pStyle w:val="Normal"/>
        <w:numPr>
          <w:ilvl w:val="0"/>
          <w:numId w:val="2"/>
        </w:numPr>
        <w:spacing w:before="0" w:after="28"/>
        <w:jc w:val="both"/>
        <w:rPr>
          <w:rFonts w:ascii="Times New Roman" w:hAnsi="Times New Roman" w:cs="Times New Roman"/>
          <w:b w:val="false"/>
          <w:b w:val="false"/>
          <w:bCs w:val="false"/>
          <w:sz w:val="26"/>
          <w:szCs w:val="26"/>
          <w:lang w:eastAsia="ru-RU"/>
        </w:rPr>
      </w:pPr>
      <w:r>
        <w:rPr>
          <w:rFonts w:cs="Times New Roman" w:ascii="Times New Roman" w:hAnsi="Times New Roman"/>
          <w:b w:val="false"/>
          <w:bCs w:val="false"/>
          <w:sz w:val="26"/>
          <w:szCs w:val="26"/>
          <w:lang w:eastAsia="ru-RU"/>
        </w:rPr>
        <w:t>создание условий для отдыха и оздоровления населения;</w:t>
      </w:r>
    </w:p>
    <w:p>
      <w:pPr>
        <w:pStyle w:val="Normal"/>
        <w:numPr>
          <w:ilvl w:val="0"/>
          <w:numId w:val="2"/>
        </w:numPr>
        <w:spacing w:before="0" w:after="28"/>
        <w:jc w:val="both"/>
        <w:rPr>
          <w:rFonts w:ascii="Times New Roman" w:hAnsi="Times New Roman" w:cs="Times New Roman"/>
          <w:b w:val="false"/>
          <w:b w:val="false"/>
          <w:bCs w:val="false"/>
          <w:sz w:val="26"/>
          <w:szCs w:val="26"/>
          <w:lang w:eastAsia="ru-RU"/>
        </w:rPr>
      </w:pPr>
      <w:r>
        <w:rPr>
          <w:rFonts w:cs="Times New Roman" w:ascii="Times New Roman" w:hAnsi="Times New Roman"/>
          <w:b w:val="false"/>
          <w:bCs w:val="false"/>
          <w:sz w:val="26"/>
          <w:szCs w:val="26"/>
          <w:lang w:eastAsia="ru-RU"/>
        </w:rPr>
        <w:t>охрана природных и ландшафтных особенностей данных территорий;</w:t>
      </w:r>
    </w:p>
    <w:p>
      <w:pPr>
        <w:pStyle w:val="Normal"/>
        <w:numPr>
          <w:ilvl w:val="0"/>
          <w:numId w:val="2"/>
        </w:numPr>
        <w:spacing w:before="0" w:after="28"/>
        <w:jc w:val="both"/>
        <w:rPr>
          <w:rFonts w:ascii="Times New Roman" w:hAnsi="Times New Roman" w:cs="Times New Roman"/>
          <w:b w:val="false"/>
          <w:b w:val="false"/>
          <w:bCs w:val="false"/>
          <w:sz w:val="26"/>
          <w:szCs w:val="26"/>
          <w:lang w:eastAsia="ru-RU"/>
        </w:rPr>
      </w:pPr>
      <w:r>
        <w:rPr>
          <w:rFonts w:cs="Times New Roman" w:ascii="Times New Roman" w:hAnsi="Times New Roman"/>
          <w:b w:val="false"/>
          <w:bCs w:val="false"/>
          <w:sz w:val="26"/>
          <w:szCs w:val="26"/>
          <w:lang w:eastAsia="ru-RU"/>
        </w:rPr>
        <w:t>использование данных участков для туризма и рекреационных мероприятий;</w:t>
      </w:r>
    </w:p>
    <w:p>
      <w:pPr>
        <w:pStyle w:val="Normal"/>
        <w:numPr>
          <w:ilvl w:val="0"/>
          <w:numId w:val="2"/>
        </w:numPr>
        <w:spacing w:before="0" w:after="28"/>
        <w:jc w:val="both"/>
        <w:rPr>
          <w:rFonts w:ascii="Times New Roman" w:hAnsi="Times New Roman" w:cs="Times New Roman"/>
          <w:b w:val="false"/>
          <w:b w:val="false"/>
          <w:bCs w:val="false"/>
          <w:sz w:val="26"/>
          <w:szCs w:val="26"/>
          <w:lang w:eastAsia="ru-RU"/>
        </w:rPr>
      </w:pPr>
      <w:r>
        <w:rPr>
          <w:rFonts w:cs="Times New Roman" w:ascii="Times New Roman" w:hAnsi="Times New Roman"/>
          <w:b w:val="false"/>
          <w:bCs w:val="false"/>
          <w:sz w:val="26"/>
          <w:szCs w:val="26"/>
          <w:lang w:eastAsia="ru-RU"/>
        </w:rPr>
        <w:t>развитие инфраструктуры, связанной с охраной природы и благоустройством территорий для культурного и природного отдыха.</w:t>
      </w:r>
    </w:p>
    <w:p>
      <w:pPr>
        <w:pStyle w:val="Normal"/>
        <w:spacing w:before="0" w:after="28"/>
        <w:ind w:left="284" w:right="0" w:hanging="0"/>
        <w:jc w:val="both"/>
        <w:rPr>
          <w:rFonts w:ascii="Times New Roman" w:hAnsi="Times New Roman" w:cs="Times New Roman"/>
          <w:b w:val="false"/>
          <w:b w:val="false"/>
          <w:bCs w:val="false"/>
          <w:sz w:val="26"/>
          <w:szCs w:val="26"/>
          <w:lang w:eastAsia="ru-RU"/>
        </w:rPr>
      </w:pPr>
      <w:r>
        <w:rPr>
          <w:rFonts w:cs="Times New Roman" w:ascii="Times New Roman" w:hAnsi="Times New Roman"/>
          <w:b w:val="false"/>
          <w:bCs w:val="false"/>
          <w:sz w:val="26"/>
          <w:szCs w:val="26"/>
          <w:lang w:eastAsia="ru-RU"/>
        </w:rPr>
        <w:t>3. Установить следующие ограничения для использования земель рекреационного назначения:</w:t>
      </w:r>
    </w:p>
    <w:p>
      <w:pPr>
        <w:pStyle w:val="Normal"/>
        <w:numPr>
          <w:ilvl w:val="0"/>
          <w:numId w:val="3"/>
        </w:numPr>
        <w:spacing w:before="0" w:after="28"/>
        <w:jc w:val="both"/>
        <w:rPr>
          <w:rFonts w:ascii="Times New Roman" w:hAnsi="Times New Roman" w:cs="Times New Roman"/>
          <w:b w:val="false"/>
          <w:b w:val="false"/>
          <w:bCs w:val="false"/>
          <w:sz w:val="26"/>
          <w:szCs w:val="26"/>
          <w:lang w:eastAsia="ru-RU"/>
        </w:rPr>
      </w:pPr>
      <w:r>
        <w:rPr>
          <w:rFonts w:cs="Times New Roman" w:ascii="Times New Roman" w:hAnsi="Times New Roman"/>
          <w:b w:val="false"/>
          <w:bCs w:val="false"/>
          <w:sz w:val="26"/>
          <w:szCs w:val="26"/>
          <w:lang w:eastAsia="ru-RU"/>
        </w:rPr>
        <w:t>запрещается строительство объектов, не связанных с рекреационной деятельностью и благоустройством;</w:t>
      </w:r>
    </w:p>
    <w:p>
      <w:pPr>
        <w:pStyle w:val="Normal"/>
        <w:numPr>
          <w:ilvl w:val="0"/>
          <w:numId w:val="3"/>
        </w:numPr>
        <w:spacing w:before="0" w:after="28"/>
        <w:jc w:val="both"/>
        <w:rPr>
          <w:rFonts w:ascii="Times New Roman" w:hAnsi="Times New Roman" w:cs="Times New Roman"/>
          <w:b w:val="false"/>
          <w:b w:val="false"/>
          <w:bCs w:val="false"/>
          <w:sz w:val="26"/>
          <w:szCs w:val="26"/>
          <w:lang w:eastAsia="ru-RU"/>
        </w:rPr>
      </w:pPr>
      <w:r>
        <w:rPr>
          <w:rFonts w:cs="Times New Roman" w:ascii="Times New Roman" w:hAnsi="Times New Roman"/>
          <w:b w:val="false"/>
          <w:bCs w:val="false"/>
          <w:sz w:val="26"/>
          <w:szCs w:val="26"/>
          <w:lang w:eastAsia="ru-RU"/>
        </w:rPr>
        <w:t>запрещается изменение природного ландшафта, за исключением работ по благоустройству, охране и восстановлению природных объектов;</w:t>
      </w:r>
    </w:p>
    <w:p>
      <w:pPr>
        <w:pStyle w:val="Normal"/>
        <w:numPr>
          <w:ilvl w:val="0"/>
          <w:numId w:val="3"/>
        </w:numPr>
        <w:spacing w:before="0" w:after="28"/>
        <w:jc w:val="both"/>
        <w:rPr>
          <w:rFonts w:ascii="Times New Roman" w:hAnsi="Times New Roman" w:cs="Times New Roman"/>
          <w:b w:val="false"/>
          <w:b w:val="false"/>
          <w:bCs w:val="false"/>
          <w:sz w:val="26"/>
          <w:szCs w:val="26"/>
          <w:lang w:eastAsia="ru-RU"/>
        </w:rPr>
      </w:pPr>
      <w:r>
        <w:rPr>
          <w:rFonts w:cs="Times New Roman" w:ascii="Times New Roman" w:hAnsi="Times New Roman"/>
          <w:b w:val="false"/>
          <w:bCs w:val="false"/>
          <w:sz w:val="26"/>
          <w:szCs w:val="26"/>
          <w:lang w:eastAsia="ru-RU"/>
        </w:rPr>
        <w:t>запрещается деятельность, способная нанести ущерб природной среде, в том числе вырубка лесов, охота, организация складов и промышленных объектов;</w:t>
      </w:r>
    </w:p>
    <w:p>
      <w:pPr>
        <w:pStyle w:val="Normal"/>
        <w:numPr>
          <w:ilvl w:val="0"/>
          <w:numId w:val="3"/>
        </w:numPr>
        <w:spacing w:before="0" w:after="28"/>
        <w:jc w:val="both"/>
        <w:rPr>
          <w:rFonts w:ascii="Times New Roman" w:hAnsi="Times New Roman" w:cs="Times New Roman"/>
          <w:b w:val="false"/>
          <w:b w:val="false"/>
          <w:bCs w:val="false"/>
          <w:sz w:val="26"/>
          <w:szCs w:val="26"/>
          <w:lang w:eastAsia="ru-RU"/>
        </w:rPr>
      </w:pPr>
      <w:r>
        <w:rPr>
          <w:rFonts w:cs="Times New Roman" w:ascii="Times New Roman" w:hAnsi="Times New Roman"/>
          <w:b w:val="false"/>
          <w:bCs w:val="false"/>
          <w:sz w:val="26"/>
          <w:szCs w:val="26"/>
          <w:lang w:eastAsia="ru-RU"/>
        </w:rPr>
        <w:t>разрешены работы по благоустройству территории, создание экологических троп, площадок для отдыха и культурных мероприятий, при условии соблюдения природоохранного законодательства.</w:t>
      </w:r>
    </w:p>
    <w:p>
      <w:pPr>
        <w:pStyle w:val="Normal"/>
        <w:spacing w:before="0" w:after="28"/>
        <w:jc w:val="both"/>
        <w:rPr>
          <w:rFonts w:ascii="Times New Roman" w:hAnsi="Times New Roman" w:cs="Times New Roman"/>
          <w:b w:val="false"/>
          <w:b w:val="false"/>
          <w:bCs w:val="false"/>
          <w:sz w:val="26"/>
          <w:szCs w:val="26"/>
          <w:lang w:eastAsia="ru-RU"/>
        </w:rPr>
      </w:pPr>
      <w:r>
        <w:rPr>
          <w:rFonts w:cs="Times New Roman" w:ascii="Times New Roman" w:hAnsi="Times New Roman"/>
          <w:b w:val="false"/>
          <w:bCs w:val="false"/>
          <w:sz w:val="26"/>
          <w:szCs w:val="26"/>
          <w:lang w:eastAsia="ru-RU"/>
        </w:rPr>
        <w:t xml:space="preserve"> </w:t>
      </w:r>
    </w:p>
    <w:p>
      <w:pPr>
        <w:pStyle w:val="Normal"/>
        <w:spacing w:before="0" w:after="28"/>
        <w:jc w:val="both"/>
        <w:rPr>
          <w:rFonts w:ascii="Times New Roman" w:hAnsi="Times New Roman" w:cs="Times New Roman"/>
          <w:b w:val="false"/>
          <w:b w:val="false"/>
          <w:bCs w:val="false"/>
          <w:sz w:val="26"/>
          <w:szCs w:val="26"/>
          <w:lang w:eastAsia="ru-RU"/>
        </w:rPr>
      </w:pPr>
      <w:r>
        <w:rPr>
          <w:rFonts w:cs="Times New Roman" w:ascii="Times New Roman" w:hAnsi="Times New Roman"/>
          <w:b w:val="false"/>
          <w:bCs w:val="false"/>
          <w:sz w:val="26"/>
          <w:szCs w:val="26"/>
          <w:lang w:eastAsia="ru-RU"/>
        </w:rPr>
        <w:t xml:space="preserve">  </w:t>
      </w:r>
      <w:r>
        <w:rPr>
          <w:rFonts w:cs="Times New Roman" w:ascii="Times New Roman" w:hAnsi="Times New Roman"/>
          <w:b w:val="false"/>
          <w:bCs w:val="false"/>
          <w:sz w:val="26"/>
          <w:szCs w:val="26"/>
          <w:lang w:eastAsia="ru-RU"/>
        </w:rPr>
        <w:t>4. Обеспечить внесение изменений в Единый государственный реестр недвижимости (ЕГРН) в отношении данных земельных участков в соответствии с действующим законодательством.</w:t>
      </w:r>
    </w:p>
    <w:p>
      <w:pPr>
        <w:pStyle w:val="Normal"/>
        <w:widowControl/>
        <w:suppressAutoHyphens w:val="true"/>
        <w:bidi w:val="0"/>
        <w:spacing w:lineRule="auto" w:line="252" w:before="0" w:after="28"/>
        <w:ind w:left="170" w:right="0" w:hanging="0"/>
        <w:jc w:val="both"/>
        <w:rPr>
          <w:rFonts w:ascii="Times New Roman" w:hAnsi="Times New Roman" w:cs="Times New Roman"/>
          <w:b w:val="false"/>
          <w:b w:val="false"/>
          <w:bCs w:val="false"/>
          <w:sz w:val="26"/>
          <w:szCs w:val="26"/>
          <w:lang w:eastAsia="ru-RU"/>
        </w:rPr>
      </w:pPr>
      <w:r>
        <w:rPr>
          <w:rFonts w:cs="Times New Roman" w:ascii="Times New Roman" w:hAnsi="Times New Roman"/>
          <w:b w:val="false"/>
          <w:bCs w:val="false"/>
          <w:sz w:val="26"/>
          <w:szCs w:val="26"/>
          <w:lang w:eastAsia="ru-RU"/>
        </w:rPr>
        <w:t>5.  Настоящее постановление подлежит официальному опубликованию в газете «Верхнесанчелеевский Вестник» и на официальном сайте Администрации сельского поселения Верхнее Санчелеево муниципального района Ставропольский Самарской области в сети «Интернет»: http://v.sancheleevo.stavrsp.ru.</w:t>
      </w:r>
    </w:p>
    <w:p>
      <w:pPr>
        <w:pStyle w:val="Normal"/>
        <w:spacing w:before="0" w:after="28"/>
        <w:jc w:val="both"/>
        <w:rPr>
          <w:rFonts w:ascii="Times New Roman" w:hAnsi="Times New Roman" w:cs="Times New Roman"/>
          <w:b w:val="false"/>
          <w:b w:val="false"/>
          <w:bCs w:val="false"/>
          <w:sz w:val="26"/>
          <w:szCs w:val="26"/>
          <w:lang w:eastAsia="ru-RU"/>
        </w:rPr>
      </w:pPr>
      <w:r>
        <w:rPr>
          <w:rFonts w:cs="Times New Roman" w:ascii="Times New Roman" w:hAnsi="Times New Roman"/>
          <w:b w:val="false"/>
          <w:bCs w:val="false"/>
          <w:sz w:val="26"/>
          <w:szCs w:val="26"/>
          <w:lang w:eastAsia="ru-RU"/>
        </w:rPr>
        <w:t xml:space="preserve"> </w:t>
      </w:r>
      <w:r>
        <w:rPr>
          <w:rFonts w:cs="Times New Roman" w:ascii="Times New Roman" w:hAnsi="Times New Roman"/>
          <w:b w:val="false"/>
          <w:bCs w:val="false"/>
          <w:sz w:val="26"/>
          <w:szCs w:val="26"/>
          <w:lang w:eastAsia="ru-RU"/>
        </w:rPr>
        <w:t>6. Контроль за выполнением настоящего постановления оставляю за собой.</w:t>
      </w:r>
    </w:p>
    <w:p>
      <w:pPr>
        <w:pStyle w:val="Normal"/>
        <w:spacing w:before="0" w:after="28"/>
        <w:jc w:val="both"/>
        <w:rPr>
          <w:rFonts w:ascii="Times New Roman" w:hAnsi="Times New Roman" w:cs="Times New Roman"/>
          <w:b w:val="false"/>
          <w:b w:val="false"/>
          <w:bCs w:val="false"/>
          <w:sz w:val="26"/>
          <w:szCs w:val="26"/>
          <w:lang w:eastAsia="ru-RU"/>
        </w:rPr>
      </w:pPr>
      <w:r>
        <w:rPr>
          <w:rFonts w:cs="Times New Roman" w:ascii="Times New Roman" w:hAnsi="Times New Roman"/>
          <w:b w:val="false"/>
          <w:bCs w:val="false"/>
          <w:sz w:val="26"/>
          <w:szCs w:val="26"/>
          <w:lang w:eastAsia="ru-RU"/>
        </w:rPr>
        <w:t xml:space="preserve"> </w:t>
      </w:r>
      <w:r>
        <w:rPr>
          <w:rFonts w:cs="Times New Roman" w:ascii="Times New Roman" w:hAnsi="Times New Roman"/>
          <w:b w:val="false"/>
          <w:bCs w:val="false"/>
          <w:sz w:val="26"/>
          <w:szCs w:val="26"/>
          <w:lang w:eastAsia="ru-RU"/>
        </w:rPr>
        <w:t>7. Настоящее постановление вступает в силу со дня его официального опубликования.</w:t>
      </w:r>
    </w:p>
    <w:p>
      <w:pPr>
        <w:pStyle w:val="Normal"/>
        <w:spacing w:before="0" w:after="28"/>
        <w:jc w:val="both"/>
        <w:rPr>
          <w:rFonts w:ascii="Times New Roman" w:hAnsi="Times New Roman" w:cs="Times New Roman"/>
          <w:b w:val="false"/>
          <w:b w:val="false"/>
          <w:bCs w:val="false"/>
          <w:sz w:val="26"/>
          <w:szCs w:val="26"/>
          <w:lang w:eastAsia="ru-RU"/>
        </w:rPr>
      </w:pPr>
      <w:r>
        <w:rPr>
          <w:rFonts w:cs="Times New Roman" w:ascii="Times New Roman" w:hAnsi="Times New Roman"/>
          <w:b w:val="false"/>
          <w:bCs w:val="false"/>
          <w:sz w:val="26"/>
          <w:szCs w:val="26"/>
          <w:lang w:eastAsia="ru-RU"/>
        </w:rPr>
      </w:r>
    </w:p>
    <w:p>
      <w:pPr>
        <w:pStyle w:val="Normal"/>
        <w:spacing w:before="0" w:after="28"/>
        <w:jc w:val="both"/>
        <w:rPr>
          <w:rFonts w:ascii="Times New Roman" w:hAnsi="Times New Roman" w:cs="Times New Roman"/>
          <w:b w:val="false"/>
          <w:b w:val="false"/>
          <w:bCs w:val="false"/>
          <w:sz w:val="26"/>
          <w:szCs w:val="26"/>
          <w:lang w:eastAsia="ru-RU"/>
        </w:rPr>
      </w:pPr>
      <w:r>
        <w:rPr>
          <w:rFonts w:cs="Times New Roman" w:ascii="Times New Roman" w:hAnsi="Times New Roman"/>
          <w:b w:val="false"/>
          <w:bCs w:val="false"/>
          <w:sz w:val="26"/>
          <w:szCs w:val="26"/>
          <w:lang w:eastAsia="ru-RU"/>
        </w:rPr>
        <w:t>Глава сельского поселения Верхнее Санчелеево</w:t>
      </w:r>
    </w:p>
    <w:p>
      <w:pPr>
        <w:pStyle w:val="Normal"/>
        <w:spacing w:before="0" w:after="28"/>
        <w:jc w:val="both"/>
        <w:rPr>
          <w:rFonts w:ascii="Times New Roman" w:hAnsi="Times New Roman" w:cs="Times New Roman"/>
          <w:b w:val="false"/>
          <w:b w:val="false"/>
          <w:bCs w:val="false"/>
          <w:sz w:val="26"/>
          <w:szCs w:val="26"/>
          <w:lang w:eastAsia="ru-RU"/>
        </w:rPr>
      </w:pPr>
      <w:r>
        <w:rPr>
          <w:rFonts w:cs="Times New Roman" w:ascii="Times New Roman" w:hAnsi="Times New Roman"/>
          <w:b w:val="false"/>
          <w:bCs w:val="false"/>
          <w:sz w:val="26"/>
          <w:szCs w:val="26"/>
          <w:lang w:eastAsia="ru-RU"/>
        </w:rPr>
        <w:t>муниципального района Ставропольский</w:t>
      </w:r>
    </w:p>
    <w:p>
      <w:pPr>
        <w:pStyle w:val="Normal"/>
        <w:spacing w:before="0" w:after="28"/>
        <w:jc w:val="both"/>
        <w:rPr>
          <w:rFonts w:ascii="Times New Roman" w:hAnsi="Times New Roman" w:cs="Times New Roman"/>
          <w:b w:val="false"/>
          <w:b w:val="false"/>
          <w:bCs w:val="false"/>
          <w:sz w:val="26"/>
          <w:szCs w:val="26"/>
          <w:lang w:eastAsia="ru-RU"/>
        </w:rPr>
      </w:pPr>
      <w:r>
        <w:rPr>
          <w:rFonts w:cs="Times New Roman" w:ascii="Times New Roman" w:hAnsi="Times New Roman"/>
          <w:b w:val="false"/>
          <w:bCs w:val="false"/>
          <w:sz w:val="26"/>
          <w:szCs w:val="26"/>
          <w:lang w:eastAsia="ru-RU"/>
        </w:rPr>
        <w:t>Самарской области                                                                                            П.В.Чапарин</w:t>
      </w:r>
    </w:p>
    <w:p>
      <w:pPr>
        <w:pStyle w:val="Normal"/>
        <w:spacing w:before="0" w:after="28"/>
        <w:jc w:val="both"/>
        <w:rPr>
          <w:rFonts w:ascii="Times New Roman" w:hAnsi="Times New Roman" w:cs="Times New Roman"/>
          <w:b w:val="false"/>
          <w:b w:val="false"/>
          <w:bCs w:val="false"/>
          <w:sz w:val="26"/>
          <w:szCs w:val="26"/>
          <w:lang w:eastAsia="ru-RU"/>
        </w:rPr>
      </w:pPr>
      <w:r>
        <w:rPr>
          <w:rFonts w:cs="Times New Roman" w:ascii="Times New Roman" w:hAnsi="Times New Roman"/>
          <w:b w:val="false"/>
          <w:bCs w:val="false"/>
          <w:sz w:val="26"/>
          <w:szCs w:val="26"/>
          <w:lang w:eastAsia="ru-RU"/>
        </w:rPr>
      </w:r>
    </w:p>
    <w:sectPr>
      <w:type w:val="nextPage"/>
      <w:pgSz w:w="11906" w:h="16838"/>
      <w:pgMar w:left="1134" w:right="565" w:header="0" w:top="1134" w:footer="0" w:bottom="1134" w:gutter="0"/>
      <w:pgNumType w:fmt="decimal"/>
      <w:formProt w:val="false"/>
      <w:titlePg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swiss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Segoe UI">
    <w:charset w:val="cc"/>
    <w:family w:val="swiss"/>
    <w:pitch w:val="variable"/>
  </w:font>
  <w:font w:name="OpenSymbol">
    <w:altName w:val="Arial Unicode MS"/>
    <w:charset w:val="02"/>
    <w:family w:val="auto"/>
    <w:pitch w:val="default"/>
  </w:font>
  <w:font w:name="Liberation Sans">
    <w:altName w:val="Arial"/>
    <w:charset w:val="cc"/>
    <w:family w:val="swiss"/>
    <w:pitch w:val="variable"/>
  </w:font>
  <w:font w:name="Arial">
    <w:charset w:val="cc"/>
    <w:family w:val="swiss"/>
    <w:pitch w:val="variable"/>
  </w:font>
  <w:font w:name="Courier New">
    <w:charset w:val="cc"/>
    <w:family w:val="modern"/>
    <w:pitch w:val="default"/>
  </w:font>
  <w:font w:name="Tahoma">
    <w:charset w:val="cc"/>
    <w:family w:val="swiss"/>
    <w:pitch w:val="variable"/>
  </w:font>
  <w:font w:name="Bookman Old Style">
    <w:charset w:val="cc"/>
    <w:family w:val="roman"/>
    <w:pitch w:val="variable"/>
  </w:font>
  <w:font w:name="Symbol">
    <w:charset w:val="02"/>
    <w:family w:val="auto"/>
    <w:pitch w:val="default"/>
  </w:font>
  <w:font w:name="OpenSymbol">
    <w:altName w:val="Arial Unicode MS"/>
    <w:charset w:val="01"/>
    <w:family w:val="auto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1"/>
      <w:numFmt w:val="none"/>
      <w:suff w:val="nothing"/>
      <w:lvlText w:val=""/>
      <w:lvlJc w:val="left"/>
      <w:pPr>
        <w:ind w:left="0" w:hanging="0"/>
      </w:pPr>
      <w:rPr/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bullet"/>
      <w:lvlText w:val=""/>
      <w:lvlJc w:val="left"/>
      <w:pPr>
        <w:tabs>
          <w:tab w:val="num" w:pos="1004"/>
        </w:tabs>
        <w:ind w:left="1004" w:hanging="360"/>
      </w:pPr>
      <w:rPr>
        <w:rFonts w:ascii="Symbol" w:hAnsi="Symbol" w:cs="Symbol" w:hint="default"/>
        <w:rFonts w:cs="OpenSymbol"/>
      </w:rPr>
    </w:lvl>
    <w:lvl w:ilvl="1">
      <w:start w:val="1"/>
      <w:numFmt w:val="bullet"/>
      <w:lvlText w:val="◦"/>
      <w:lvlJc w:val="left"/>
      <w:pPr>
        <w:tabs>
          <w:tab w:val="num" w:pos="1364"/>
        </w:tabs>
        <w:ind w:left="1364" w:hanging="360"/>
      </w:pPr>
      <w:rPr>
        <w:rFonts w:ascii="OpenSymbol" w:hAnsi="OpenSymbol" w:cs="OpenSymbol" w:hint="default"/>
        <w:rFonts w:cs="OpenSymbol"/>
      </w:rPr>
    </w:lvl>
    <w:lvl w:ilvl="2">
      <w:start w:val="1"/>
      <w:numFmt w:val="bullet"/>
      <w:lvlText w:val="▪"/>
      <w:lvlJc w:val="left"/>
      <w:pPr>
        <w:tabs>
          <w:tab w:val="num" w:pos="1724"/>
        </w:tabs>
        <w:ind w:left="1724" w:hanging="360"/>
      </w:pPr>
      <w:rPr>
        <w:rFonts w:ascii="OpenSymbol" w:hAnsi="OpenSymbol" w:cs="OpenSymbol" w:hint="default"/>
        <w:rFonts w:cs="OpenSymbol"/>
      </w:rPr>
    </w:lvl>
    <w:lvl w:ilvl="3">
      <w:start w:val="1"/>
      <w:numFmt w:val="bullet"/>
      <w:lvlText w:val=""/>
      <w:lvlJc w:val="left"/>
      <w:pPr>
        <w:tabs>
          <w:tab w:val="num" w:pos="2084"/>
        </w:tabs>
        <w:ind w:left="2084" w:hanging="360"/>
      </w:pPr>
      <w:rPr>
        <w:rFonts w:ascii="Symbol" w:hAnsi="Symbol" w:cs="Symbol" w:hint="default"/>
        <w:rFonts w:cs="OpenSymbol"/>
      </w:rPr>
    </w:lvl>
    <w:lvl w:ilvl="4">
      <w:start w:val="1"/>
      <w:numFmt w:val="bullet"/>
      <w:lvlText w:val="◦"/>
      <w:lvlJc w:val="left"/>
      <w:pPr>
        <w:tabs>
          <w:tab w:val="num" w:pos="2444"/>
        </w:tabs>
        <w:ind w:left="2444" w:hanging="360"/>
      </w:pPr>
      <w:rPr>
        <w:rFonts w:ascii="OpenSymbol" w:hAnsi="OpenSymbol" w:cs="OpenSymbol" w:hint="default"/>
        <w:rFonts w:cs="OpenSymbol"/>
      </w:rPr>
    </w:lvl>
    <w:lvl w:ilvl="5">
      <w:start w:val="1"/>
      <w:numFmt w:val="bullet"/>
      <w:lvlText w:val="▪"/>
      <w:lvlJc w:val="left"/>
      <w:pPr>
        <w:tabs>
          <w:tab w:val="num" w:pos="2804"/>
        </w:tabs>
        <w:ind w:left="2804" w:hanging="360"/>
      </w:pPr>
      <w:rPr>
        <w:rFonts w:ascii="OpenSymbol" w:hAnsi="OpenSymbol" w:cs="OpenSymbol" w:hint="default"/>
        <w:rFonts w:cs="OpenSymbol"/>
      </w:rPr>
    </w:lvl>
    <w:lvl w:ilvl="6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cs="Symbol" w:hint="default"/>
        <w:rFonts w:cs="OpenSymbol"/>
      </w:rPr>
    </w:lvl>
    <w:lvl w:ilvl="7">
      <w:start w:val="1"/>
      <w:numFmt w:val="bullet"/>
      <w:lvlText w:val="◦"/>
      <w:lvlJc w:val="left"/>
      <w:pPr>
        <w:tabs>
          <w:tab w:val="num" w:pos="3524"/>
        </w:tabs>
        <w:ind w:left="3524" w:hanging="360"/>
      </w:pPr>
      <w:rPr>
        <w:rFonts w:ascii="OpenSymbol" w:hAnsi="OpenSymbol" w:cs="OpenSymbol" w:hint="default"/>
        <w:rFonts w:cs="OpenSymbol"/>
      </w:rPr>
    </w:lvl>
    <w:lvl w:ilvl="8">
      <w:start w:val="1"/>
      <w:numFmt w:val="bullet"/>
      <w:lvlText w:val="▪"/>
      <w:lvlJc w:val="left"/>
      <w:pPr>
        <w:tabs>
          <w:tab w:val="num" w:pos="3884"/>
        </w:tabs>
        <w:ind w:left="3884" w:hanging="360"/>
      </w:pPr>
      <w:rPr>
        <w:rFonts w:ascii="OpenSymbol" w:hAnsi="OpenSymbol" w:cs="OpenSymbol" w:hint="default"/>
        <w:rFonts w:cs="OpenSymbol"/>
      </w:rPr>
    </w:lvl>
  </w:abstractNum>
  <w:abstractNum w:abstractNumId="3">
    <w:lvl w:ilvl="0">
      <w:start w:val="1"/>
      <w:numFmt w:val="bullet"/>
      <w:lvlText w:val=""/>
      <w:lvlJc w:val="left"/>
      <w:pPr>
        <w:tabs>
          <w:tab w:val="num" w:pos="1004"/>
        </w:tabs>
        <w:ind w:left="1004" w:hanging="360"/>
      </w:pPr>
      <w:rPr>
        <w:rFonts w:ascii="Symbol" w:hAnsi="Symbol" w:cs="Symbol" w:hint="default"/>
        <w:rFonts w:cs="OpenSymbol"/>
      </w:rPr>
    </w:lvl>
    <w:lvl w:ilvl="1">
      <w:start w:val="1"/>
      <w:numFmt w:val="bullet"/>
      <w:lvlText w:val="◦"/>
      <w:lvlJc w:val="left"/>
      <w:pPr>
        <w:tabs>
          <w:tab w:val="num" w:pos="1364"/>
        </w:tabs>
        <w:ind w:left="1364" w:hanging="360"/>
      </w:pPr>
      <w:rPr>
        <w:rFonts w:ascii="OpenSymbol" w:hAnsi="OpenSymbol" w:cs="OpenSymbol" w:hint="default"/>
        <w:rFonts w:cs="OpenSymbol"/>
      </w:rPr>
    </w:lvl>
    <w:lvl w:ilvl="2">
      <w:start w:val="1"/>
      <w:numFmt w:val="bullet"/>
      <w:lvlText w:val="▪"/>
      <w:lvlJc w:val="left"/>
      <w:pPr>
        <w:tabs>
          <w:tab w:val="num" w:pos="1724"/>
        </w:tabs>
        <w:ind w:left="1724" w:hanging="360"/>
      </w:pPr>
      <w:rPr>
        <w:rFonts w:ascii="OpenSymbol" w:hAnsi="OpenSymbol" w:cs="OpenSymbol" w:hint="default"/>
        <w:rFonts w:cs="OpenSymbol"/>
      </w:rPr>
    </w:lvl>
    <w:lvl w:ilvl="3">
      <w:start w:val="1"/>
      <w:numFmt w:val="bullet"/>
      <w:lvlText w:val=""/>
      <w:lvlJc w:val="left"/>
      <w:pPr>
        <w:tabs>
          <w:tab w:val="num" w:pos="2084"/>
        </w:tabs>
        <w:ind w:left="2084" w:hanging="360"/>
      </w:pPr>
      <w:rPr>
        <w:rFonts w:ascii="Symbol" w:hAnsi="Symbol" w:cs="Symbol" w:hint="default"/>
        <w:rFonts w:cs="OpenSymbol"/>
      </w:rPr>
    </w:lvl>
    <w:lvl w:ilvl="4">
      <w:start w:val="1"/>
      <w:numFmt w:val="bullet"/>
      <w:lvlText w:val="◦"/>
      <w:lvlJc w:val="left"/>
      <w:pPr>
        <w:tabs>
          <w:tab w:val="num" w:pos="2444"/>
        </w:tabs>
        <w:ind w:left="2444" w:hanging="360"/>
      </w:pPr>
      <w:rPr>
        <w:rFonts w:ascii="OpenSymbol" w:hAnsi="OpenSymbol" w:cs="OpenSymbol" w:hint="default"/>
        <w:rFonts w:cs="OpenSymbol"/>
      </w:rPr>
    </w:lvl>
    <w:lvl w:ilvl="5">
      <w:start w:val="1"/>
      <w:numFmt w:val="bullet"/>
      <w:lvlText w:val="▪"/>
      <w:lvlJc w:val="left"/>
      <w:pPr>
        <w:tabs>
          <w:tab w:val="num" w:pos="2804"/>
        </w:tabs>
        <w:ind w:left="2804" w:hanging="360"/>
      </w:pPr>
      <w:rPr>
        <w:rFonts w:ascii="OpenSymbol" w:hAnsi="OpenSymbol" w:cs="OpenSymbol" w:hint="default"/>
        <w:rFonts w:cs="OpenSymbol"/>
      </w:rPr>
    </w:lvl>
    <w:lvl w:ilvl="6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cs="Symbol" w:hint="default"/>
        <w:rFonts w:cs="OpenSymbol"/>
      </w:rPr>
    </w:lvl>
    <w:lvl w:ilvl="7">
      <w:start w:val="1"/>
      <w:numFmt w:val="bullet"/>
      <w:lvlText w:val="◦"/>
      <w:lvlJc w:val="left"/>
      <w:pPr>
        <w:tabs>
          <w:tab w:val="num" w:pos="3524"/>
        </w:tabs>
        <w:ind w:left="3524" w:hanging="360"/>
      </w:pPr>
      <w:rPr>
        <w:rFonts w:ascii="OpenSymbol" w:hAnsi="OpenSymbol" w:cs="OpenSymbol" w:hint="default"/>
        <w:rFonts w:cs="OpenSymbol"/>
      </w:rPr>
    </w:lvl>
    <w:lvl w:ilvl="8">
      <w:start w:val="1"/>
      <w:numFmt w:val="bullet"/>
      <w:lvlText w:val="▪"/>
      <w:lvlJc w:val="left"/>
      <w:pPr>
        <w:tabs>
          <w:tab w:val="num" w:pos="3884"/>
        </w:tabs>
        <w:ind w:left="3884" w:hanging="360"/>
      </w:pPr>
      <w:rPr>
        <w:rFonts w:ascii="OpenSymbol" w:hAnsi="OpenSymbol" w:cs="OpenSymbol" w:hint="default"/>
        <w:rFonts w:cs="OpenSymbol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fals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Mangal"/>
        <w:sz w:val="24"/>
        <w:szCs w:val="24"/>
        <w:lang w:val="ru-RU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suppressAutoHyphens w:val="true"/>
      <w:bidi w:val="0"/>
      <w:spacing w:lineRule="auto" w:line="252" w:before="0" w:after="160"/>
    </w:pPr>
    <w:rPr>
      <w:rFonts w:ascii="Calibri" w:hAnsi="Calibri" w:eastAsia="Calibri" w:cs="Times New Roman"/>
      <w:color w:val="auto"/>
      <w:sz w:val="22"/>
      <w:szCs w:val="22"/>
      <w:lang w:val="ru-RU" w:eastAsia="zh-CN" w:bidi="ar-SA"/>
    </w:rPr>
  </w:style>
  <w:style w:type="paragraph" w:styleId="1">
    <w:name w:val="Heading 1"/>
    <w:basedOn w:val="Normal"/>
    <w:next w:val="Normal"/>
    <w:qFormat/>
    <w:pPr>
      <w:keepNext w:val="true"/>
      <w:widowControl/>
      <w:numPr>
        <w:ilvl w:val="0"/>
        <w:numId w:val="1"/>
      </w:numPr>
      <w:outlineLvl w:val="0"/>
    </w:pPr>
    <w:rPr>
      <w:rFonts w:ascii="Calibri" w:hAnsi="Calibri" w:cs="Calibri"/>
      <w:b/>
      <w:bCs/>
      <w:lang w:val="ru-RU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Times New Roman" w:hAnsi="Times New Roman" w:cs="Times New Roman"/>
      <w:bCs/>
      <w:sz w:val="28"/>
      <w:szCs w:val="28"/>
    </w:rPr>
  </w:style>
  <w:style w:type="character" w:styleId="WW8Num3z0">
    <w:name w:val="WW8Num3z0"/>
    <w:qFormat/>
    <w:rPr>
      <w:rFonts w:ascii="Times New Roman" w:hAnsi="Times New Roman" w:cs="Times New Roman"/>
      <w:bCs/>
      <w:sz w:val="28"/>
      <w:szCs w:val="28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2z1">
    <w:name w:val="WW8Num2z1"/>
    <w:qFormat/>
    <w:rPr/>
  </w:style>
  <w:style w:type="character" w:styleId="WW8Num2z2">
    <w:name w:val="WW8Num2z2"/>
    <w:qFormat/>
    <w:rPr/>
  </w:style>
  <w:style w:type="character" w:styleId="WW8Num2z3">
    <w:name w:val="WW8Num2z3"/>
    <w:qFormat/>
    <w:rPr/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WW8Num3z1">
    <w:name w:val="WW8Num3z1"/>
    <w:qFormat/>
    <w:rPr/>
  </w:style>
  <w:style w:type="character" w:styleId="WW8Num3z2">
    <w:name w:val="WW8Num3z2"/>
    <w:qFormat/>
    <w:rPr/>
  </w:style>
  <w:style w:type="character" w:styleId="WW8Num3z3">
    <w:name w:val="WW8Num3z3"/>
    <w:qFormat/>
    <w:rPr/>
  </w:style>
  <w:style w:type="character" w:styleId="WW8Num3z4">
    <w:name w:val="WW8Num3z4"/>
    <w:qFormat/>
    <w:rPr/>
  </w:style>
  <w:style w:type="character" w:styleId="WW8Num3z5">
    <w:name w:val="WW8Num3z5"/>
    <w:qFormat/>
    <w:rPr/>
  </w:style>
  <w:style w:type="character" w:styleId="WW8Num3z6">
    <w:name w:val="WW8Num3z6"/>
    <w:qFormat/>
    <w:rPr/>
  </w:style>
  <w:style w:type="character" w:styleId="WW8Num3z7">
    <w:name w:val="WW8Num3z7"/>
    <w:qFormat/>
    <w:rPr/>
  </w:style>
  <w:style w:type="character" w:styleId="WW8Num3z8">
    <w:name w:val="WW8Num3z8"/>
    <w:qFormat/>
    <w:rPr/>
  </w:style>
  <w:style w:type="character" w:styleId="WW8Num5z0">
    <w:name w:val="WW8Num5z0"/>
    <w:qFormat/>
    <w:rPr/>
  </w:style>
  <w:style w:type="character" w:styleId="WW8Num5z1">
    <w:name w:val="WW8Num5z1"/>
    <w:qFormat/>
    <w:rPr/>
  </w:style>
  <w:style w:type="character" w:styleId="WW8Num5z2">
    <w:name w:val="WW8Num5z2"/>
    <w:qFormat/>
    <w:rPr/>
  </w:style>
  <w:style w:type="character" w:styleId="WW8Num5z3">
    <w:name w:val="WW8Num5z3"/>
    <w:qFormat/>
    <w:rPr/>
  </w:style>
  <w:style w:type="character" w:styleId="WW8Num5z4">
    <w:name w:val="WW8Num5z4"/>
    <w:qFormat/>
    <w:rPr/>
  </w:style>
  <w:style w:type="character" w:styleId="WW8Num5z5">
    <w:name w:val="WW8Num5z5"/>
    <w:qFormat/>
    <w:rPr/>
  </w:style>
  <w:style w:type="character" w:styleId="WW8Num5z6">
    <w:name w:val="WW8Num5z6"/>
    <w:qFormat/>
    <w:rPr/>
  </w:style>
  <w:style w:type="character" w:styleId="WW8Num5z7">
    <w:name w:val="WW8Num5z7"/>
    <w:qFormat/>
    <w:rPr/>
  </w:style>
  <w:style w:type="character" w:styleId="WW8Num5z8">
    <w:name w:val="WW8Num5z8"/>
    <w:qFormat/>
    <w:rPr/>
  </w:style>
  <w:style w:type="character" w:styleId="WW8Num6z0">
    <w:name w:val="WW8Num6z0"/>
    <w:qFormat/>
    <w:rPr>
      <w:rFonts w:ascii="Times New Roman" w:hAnsi="Times New Roman" w:cs="Times New Roman"/>
      <w:bCs/>
      <w:sz w:val="28"/>
      <w:szCs w:val="28"/>
    </w:rPr>
  </w:style>
  <w:style w:type="character" w:styleId="WW8Num6z1">
    <w:name w:val="WW8Num6z1"/>
    <w:qFormat/>
    <w:rPr/>
  </w:style>
  <w:style w:type="character" w:styleId="WW8Num6z2">
    <w:name w:val="WW8Num6z2"/>
    <w:qFormat/>
    <w:rPr/>
  </w:style>
  <w:style w:type="character" w:styleId="WW8Num6z3">
    <w:name w:val="WW8Num6z3"/>
    <w:qFormat/>
    <w:rPr/>
  </w:style>
  <w:style w:type="character" w:styleId="WW8Num6z4">
    <w:name w:val="WW8Num6z4"/>
    <w:qFormat/>
    <w:rPr/>
  </w:style>
  <w:style w:type="character" w:styleId="WW8Num6z5">
    <w:name w:val="WW8Num6z5"/>
    <w:qFormat/>
    <w:rPr/>
  </w:style>
  <w:style w:type="character" w:styleId="WW8Num6z6">
    <w:name w:val="WW8Num6z6"/>
    <w:qFormat/>
    <w:rPr/>
  </w:style>
  <w:style w:type="character" w:styleId="WW8Num6z7">
    <w:name w:val="WW8Num6z7"/>
    <w:qFormat/>
    <w:rPr/>
  </w:style>
  <w:style w:type="character" w:styleId="WW8Num6z8">
    <w:name w:val="WW8Num6z8"/>
    <w:qFormat/>
    <w:rPr/>
  </w:style>
  <w:style w:type="character" w:styleId="Style13">
    <w:name w:val="Основной шрифт абзаца"/>
    <w:qFormat/>
    <w:rPr/>
  </w:style>
  <w:style w:type="character" w:styleId="Style14">
    <w:name w:val="Интернет-ссылка"/>
    <w:rPr>
      <w:color w:val="0000FF"/>
      <w:u w:val="single"/>
    </w:rPr>
  </w:style>
  <w:style w:type="character" w:styleId="Style15">
    <w:name w:val="Выделение жирным"/>
    <w:qFormat/>
    <w:rPr>
      <w:b/>
      <w:bCs/>
    </w:rPr>
  </w:style>
  <w:style w:type="character" w:styleId="Style16">
    <w:name w:val="Текст выноски Знак"/>
    <w:qFormat/>
    <w:rPr>
      <w:rFonts w:ascii="Segoe UI" w:hAnsi="Segoe UI" w:cs="Segoe UI"/>
      <w:sz w:val="18"/>
      <w:szCs w:val="18"/>
    </w:rPr>
  </w:style>
  <w:style w:type="character" w:styleId="Style17">
    <w:name w:val="Верхний колонтитул Знак"/>
    <w:basedOn w:val="Style13"/>
    <w:qFormat/>
    <w:rPr/>
  </w:style>
  <w:style w:type="character" w:styleId="Style18">
    <w:name w:val="Нижний колонтитул Знак"/>
    <w:basedOn w:val="Style13"/>
    <w:qFormat/>
    <w:rPr/>
  </w:style>
  <w:style w:type="character" w:styleId="Style19">
    <w:name w:val="Маркеры списка"/>
    <w:qFormat/>
    <w:rPr>
      <w:rFonts w:ascii="OpenSymbol" w:hAnsi="OpenSymbol" w:eastAsia="OpenSymbol" w:cs="OpenSymbol"/>
    </w:rPr>
  </w:style>
  <w:style w:type="paragraph" w:styleId="Style20">
    <w:name w:val="Заголовок"/>
    <w:basedOn w:val="Normal"/>
    <w:next w:val="Style21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Style21">
    <w:name w:val="Body Text"/>
    <w:basedOn w:val="Normal"/>
    <w:pPr>
      <w:spacing w:lineRule="auto" w:line="276" w:before="0" w:after="140"/>
    </w:pPr>
    <w:rPr/>
  </w:style>
  <w:style w:type="paragraph" w:styleId="Style22">
    <w:name w:val="List"/>
    <w:basedOn w:val="Style21"/>
    <w:pPr/>
    <w:rPr>
      <w:rFonts w:cs="Mangal"/>
    </w:rPr>
  </w:style>
  <w:style w:type="paragraph" w:styleId="Style23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4">
    <w:name w:val="Указатель"/>
    <w:basedOn w:val="Normal"/>
    <w:qFormat/>
    <w:pPr>
      <w:suppressLineNumbers/>
    </w:pPr>
    <w:rPr>
      <w:rFonts w:cs="Mangal"/>
    </w:rPr>
  </w:style>
  <w:style w:type="paragraph" w:styleId="ConsPlusNormal">
    <w:name w:val="ConsPlusNormal"/>
    <w:qFormat/>
    <w:pPr>
      <w:widowControl w:val="false"/>
      <w:suppressAutoHyphens w:val="true"/>
      <w:autoSpaceDE w:val="false"/>
    </w:pPr>
    <w:rPr>
      <w:rFonts w:ascii="Arial" w:hAnsi="Arial" w:eastAsia="Times New Roman" w:cs="Arial"/>
      <w:color w:val="auto"/>
      <w:sz w:val="20"/>
      <w:szCs w:val="22"/>
      <w:lang w:val="ru-RU" w:eastAsia="zh-CN" w:bidi="ar-SA"/>
    </w:rPr>
  </w:style>
  <w:style w:type="paragraph" w:styleId="ConsPlusNonformat">
    <w:name w:val="ConsPlusNonformat"/>
    <w:qFormat/>
    <w:pPr>
      <w:widowControl w:val="false"/>
      <w:suppressAutoHyphens w:val="true"/>
      <w:autoSpaceDE w:val="false"/>
    </w:pPr>
    <w:rPr>
      <w:rFonts w:ascii="Courier New" w:hAnsi="Courier New" w:eastAsia="Times New Roman" w:cs="Courier New"/>
      <w:color w:val="auto"/>
      <w:sz w:val="20"/>
      <w:szCs w:val="22"/>
      <w:lang w:val="ru-RU" w:eastAsia="zh-CN" w:bidi="ar-SA"/>
    </w:rPr>
  </w:style>
  <w:style w:type="paragraph" w:styleId="ConsPlusTitle">
    <w:name w:val="ConsPlusTitle"/>
    <w:qFormat/>
    <w:pPr>
      <w:widowControl w:val="false"/>
      <w:suppressAutoHyphens w:val="true"/>
      <w:autoSpaceDE w:val="false"/>
    </w:pPr>
    <w:rPr>
      <w:rFonts w:ascii="Arial" w:hAnsi="Arial" w:eastAsia="Times New Roman" w:cs="Arial"/>
      <w:b/>
      <w:color w:val="auto"/>
      <w:sz w:val="20"/>
      <w:szCs w:val="22"/>
      <w:lang w:val="ru-RU" w:eastAsia="zh-CN" w:bidi="ar-SA"/>
    </w:rPr>
  </w:style>
  <w:style w:type="paragraph" w:styleId="ConsPlusCell">
    <w:name w:val="ConsPlusCell"/>
    <w:qFormat/>
    <w:pPr>
      <w:widowControl w:val="false"/>
      <w:suppressAutoHyphens w:val="true"/>
      <w:autoSpaceDE w:val="false"/>
    </w:pPr>
    <w:rPr>
      <w:rFonts w:ascii="Courier New" w:hAnsi="Courier New" w:eastAsia="Times New Roman" w:cs="Courier New"/>
      <w:color w:val="auto"/>
      <w:sz w:val="20"/>
      <w:szCs w:val="22"/>
      <w:lang w:val="ru-RU" w:eastAsia="zh-CN" w:bidi="ar-SA"/>
    </w:rPr>
  </w:style>
  <w:style w:type="paragraph" w:styleId="ConsPlusDocList">
    <w:name w:val="ConsPlusDocList"/>
    <w:qFormat/>
    <w:pPr>
      <w:widowControl w:val="false"/>
      <w:suppressAutoHyphens w:val="true"/>
      <w:autoSpaceDE w:val="false"/>
    </w:pPr>
    <w:rPr>
      <w:rFonts w:ascii="Courier New" w:hAnsi="Courier New" w:eastAsia="Times New Roman" w:cs="Courier New"/>
      <w:color w:val="auto"/>
      <w:sz w:val="20"/>
      <w:szCs w:val="22"/>
      <w:lang w:val="ru-RU" w:eastAsia="zh-CN" w:bidi="ar-SA"/>
    </w:rPr>
  </w:style>
  <w:style w:type="paragraph" w:styleId="ConsPlusTitlePage">
    <w:name w:val="ConsPlusTitlePage"/>
    <w:qFormat/>
    <w:pPr>
      <w:widowControl w:val="false"/>
      <w:suppressAutoHyphens w:val="true"/>
      <w:autoSpaceDE w:val="false"/>
    </w:pPr>
    <w:rPr>
      <w:rFonts w:ascii="Tahoma" w:hAnsi="Tahoma" w:eastAsia="Times New Roman" w:cs="Tahoma"/>
      <w:color w:val="auto"/>
      <w:sz w:val="20"/>
      <w:szCs w:val="22"/>
      <w:lang w:val="ru-RU" w:eastAsia="zh-CN" w:bidi="ar-SA"/>
    </w:rPr>
  </w:style>
  <w:style w:type="paragraph" w:styleId="ConsPlusJurTerm">
    <w:name w:val="ConsPlusJurTerm"/>
    <w:qFormat/>
    <w:pPr>
      <w:widowControl w:val="false"/>
      <w:suppressAutoHyphens w:val="true"/>
      <w:autoSpaceDE w:val="false"/>
    </w:pPr>
    <w:rPr>
      <w:rFonts w:ascii="Tahoma" w:hAnsi="Tahoma" w:eastAsia="Times New Roman" w:cs="Tahoma"/>
      <w:color w:val="auto"/>
      <w:sz w:val="26"/>
      <w:szCs w:val="22"/>
      <w:lang w:val="ru-RU" w:eastAsia="zh-CN" w:bidi="ar-SA"/>
    </w:rPr>
  </w:style>
  <w:style w:type="paragraph" w:styleId="ConsPlusTextList">
    <w:name w:val="ConsPlusTextList"/>
    <w:qFormat/>
    <w:pPr>
      <w:widowControl w:val="false"/>
      <w:suppressAutoHyphens w:val="true"/>
      <w:autoSpaceDE w:val="false"/>
    </w:pPr>
    <w:rPr>
      <w:rFonts w:ascii="Arial" w:hAnsi="Arial" w:eastAsia="Times New Roman" w:cs="Arial"/>
      <w:color w:val="auto"/>
      <w:sz w:val="20"/>
      <w:szCs w:val="22"/>
      <w:lang w:val="ru-RU" w:eastAsia="zh-CN" w:bidi="ar-SA"/>
    </w:rPr>
  </w:style>
  <w:style w:type="paragraph" w:styleId="Style25">
    <w:name w:val="Абзац списка"/>
    <w:basedOn w:val="Normal"/>
    <w:qFormat/>
    <w:pPr>
      <w:spacing w:before="0" w:after="160"/>
      <w:ind w:left="720" w:right="0" w:hanging="0"/>
      <w:contextualSpacing/>
    </w:pPr>
    <w:rPr/>
  </w:style>
  <w:style w:type="paragraph" w:styleId="Headertext">
    <w:name w:val="headertext"/>
    <w:basedOn w:val="Normal"/>
    <w:qFormat/>
    <w:pPr>
      <w:spacing w:lineRule="auto" w:line="240" w:before="280" w:after="280"/>
    </w:pPr>
    <w:rPr>
      <w:rFonts w:ascii="Times New Roman" w:hAnsi="Times New Roman" w:eastAsia="Times New Roman" w:cs="Times New Roman"/>
      <w:sz w:val="24"/>
      <w:szCs w:val="24"/>
    </w:rPr>
  </w:style>
  <w:style w:type="paragraph" w:styleId="Style26">
    <w:name w:val="Текст выноски"/>
    <w:basedOn w:val="Normal"/>
    <w:qFormat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Style27">
    <w:name w:val="Header"/>
    <w:basedOn w:val="Normal"/>
    <w:pPr>
      <w:spacing w:lineRule="auto" w:line="240" w:before="0" w:after="0"/>
    </w:pPr>
    <w:rPr/>
  </w:style>
  <w:style w:type="paragraph" w:styleId="Style28">
    <w:name w:val="Footer"/>
    <w:basedOn w:val="Normal"/>
    <w:pPr>
      <w:spacing w:lineRule="auto" w:line="240" w:before="0" w:after="0"/>
    </w:pPr>
    <w:rPr/>
  </w:style>
  <w:style w:type="paragraph" w:styleId="Style29">
    <w:name w:val="Содержимое таблицы"/>
    <w:basedOn w:val="Normal"/>
    <w:qFormat/>
    <w:pPr>
      <w:suppressLineNumbers/>
    </w:pPr>
    <w:rPr/>
  </w:style>
  <w:style w:type="paragraph" w:styleId="Style30">
    <w:name w:val="Заголовок таблицы"/>
    <w:basedOn w:val="Style29"/>
    <w:qFormat/>
    <w:pPr>
      <w:suppressLineNumbers/>
      <w:jc w:val="center"/>
    </w:pPr>
    <w:rPr>
      <w:b/>
      <w:bCs/>
    </w:rPr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39</TotalTime>
  <Application>LibreOffice/6.1.4.2$Windows_X86_64 LibreOffice_project/9d0f32d1f0b509096fd65e0d4bec26ddd1938fd3</Application>
  <Pages>2</Pages>
  <Words>525</Words>
  <Characters>3958</Characters>
  <CharactersWithSpaces>4641</CharactersWithSpaces>
  <Paragraphs>34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2024-01-26T14:15:00Z</dcterms:created>
  <dc:creator>Обухова Наталья Вячеславовна</dc:creator>
  <dc:description/>
  <dc:language>ru-RU</dc:language>
  <cp:lastModifiedBy/>
  <cp:lastPrinted>2024-10-10T09:43:06Z</cp:lastPrinted>
  <dcterms:modified xsi:type="dcterms:W3CDTF">2024-10-10T09:43:40Z</dcterms:modified>
  <cp:revision>24</cp:revision>
  <dc:subject/>
  <dc:title/>
</cp:coreProperties>
</file>