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0" w:hanging="5684"/>
        <w:jc w:val="center"/>
        <w:outlineLvl w:val="0"/>
        <w:rPr>
          <w:rFonts w:ascii="Times New Roman" w:hAnsi="Times New Roman" w:eastAsia="Times New Roman" w:cs="Times New Roman"/>
          <w:b/>
          <w:b/>
          <w:sz w:val="24"/>
          <w:szCs w:val="20"/>
          <w:lang w:val="x-none" w:eastAsia="ru-RU"/>
        </w:rPr>
      </w:pPr>
      <w:r>
        <w:rPr/>
        <w:drawing>
          <wp:inline distT="0" distB="0" distL="0" distR="0">
            <wp:extent cx="744855" cy="64389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855" cy="643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Российская Федерация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Самарская область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360" w:before="0" w:after="0"/>
        <w:jc w:val="center"/>
        <w:outlineLvl w:val="0"/>
        <w:rPr/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  <w:t xml:space="preserve"> </w:t>
      </w:r>
      <w:r>
        <w:rPr>
          <w:rFonts w:eastAsia="Calibri" w:cs="Times New Roman" w:ascii="Times New Roman" w:hAnsi="Times New Roman"/>
          <w:b/>
          <w:bCs/>
          <w:lang w:eastAsia="ru-RU"/>
        </w:rPr>
        <w:t>АДМИНИСТРАЦИЯ СЕЛЬСКОГО ПОСЕЛЕНИЯ ВЕРХНЕЕ САНЧЕЛЕЕВО</w:t>
      </w:r>
    </w:p>
    <w:p>
      <w:pPr>
        <w:pStyle w:val="Normal"/>
        <w:numPr>
          <w:ilvl w:val="0"/>
          <w:numId w:val="0"/>
        </w:numPr>
        <w:spacing w:lineRule="auto" w:line="360" w:before="0" w:after="0"/>
        <w:jc w:val="center"/>
        <w:outlineLvl w:val="0"/>
        <w:rPr>
          <w:rFonts w:ascii="Times New Roman" w:hAnsi="Times New Roman" w:eastAsia="Calibri" w:cs="Times New Roman"/>
          <w:b/>
          <w:b/>
          <w:bCs/>
          <w:lang w:eastAsia="ru-RU"/>
        </w:rPr>
      </w:pPr>
      <w:r>
        <w:rPr>
          <w:rFonts w:eastAsia="Calibri" w:cs="Times New Roman" w:ascii="Times New Roman" w:hAnsi="Times New Roman"/>
          <w:b/>
          <w:bCs/>
          <w:lang w:eastAsia="ru-RU"/>
        </w:rPr>
        <w:t>МУНИЦИПАЛЬНОГО РАЙОНА СТАВРОПОЛЬСКИЙ</w:t>
      </w:r>
    </w:p>
    <w:p>
      <w:pPr>
        <w:pStyle w:val="Normal"/>
        <w:spacing w:lineRule="auto" w:line="360" w:before="0" w:after="0"/>
        <w:jc w:val="center"/>
        <w:rPr>
          <w:rFonts w:ascii="Times New Roman" w:hAnsi="Times New Roman" w:eastAsia="Calibri" w:cs="Times New Roman"/>
          <w:b/>
          <w:b/>
          <w:bCs/>
          <w:lang w:eastAsia="ru-RU"/>
        </w:rPr>
      </w:pPr>
      <w:r>
        <w:rPr>
          <w:rFonts w:eastAsia="Calibri" w:cs="Times New Roman" w:ascii="Times New Roman" w:hAnsi="Times New Roman"/>
          <w:b/>
          <w:bCs/>
          <w:lang w:eastAsia="ru-RU"/>
        </w:rPr>
        <w:t>САМАРСКОЙ ОБЛАСТИ</w:t>
      </w:r>
    </w:p>
    <w:p>
      <w:pPr>
        <w:pStyle w:val="Normal"/>
        <w:spacing w:lineRule="auto" w:line="360" w:before="0" w:after="0"/>
        <w:jc w:val="center"/>
        <w:rPr>
          <w:rFonts w:ascii="Times New Roman" w:hAnsi="Times New Roman" w:eastAsia="Calibri" w:cs="Times New Roman"/>
          <w:b/>
          <w:b/>
          <w:bCs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 xml:space="preserve">ПОСТАНОВЛЕНИЕ 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 xml:space="preserve">   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 xml:space="preserve">От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 xml:space="preserve">13 июня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>2024 г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 xml:space="preserve">ода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 xml:space="preserve">                                                                                                  №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>34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36"/>
          <w:szCs w:val="36"/>
          <w:lang w:eastAsia="ru-RU"/>
        </w:rPr>
      </w:pPr>
      <w:r>
        <w:rPr>
          <w:rFonts w:eastAsia="Times New Roman" w:cs="Times New Roman" w:ascii="Times New Roman" w:hAnsi="Times New Roman"/>
          <w:b/>
          <w:sz w:val="36"/>
          <w:szCs w:val="36"/>
          <w:lang w:eastAsia="ru-RU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lang w:eastAsia="ru-RU"/>
        </w:rPr>
        <w:t>«</w:t>
      </w:r>
      <w:r>
        <w:rPr>
          <w:rFonts w:eastAsia="Times New Roman" w:cs="Times New Roman" w:ascii="Times New Roman" w:hAnsi="Times New Roman"/>
          <w:b/>
          <w:color w:val="000000"/>
          <w:sz w:val="26"/>
          <w:szCs w:val="26"/>
          <w:lang w:eastAsia="ru-RU"/>
        </w:rPr>
        <w:t xml:space="preserve">Об утверждении методики </w:t>
      </w:r>
      <w:r>
        <w:rPr>
          <w:rFonts w:cs="Times New Roman" w:ascii="Times New Roman" w:hAnsi="Times New Roman"/>
          <w:b/>
          <w:sz w:val="26"/>
          <w:szCs w:val="26"/>
        </w:rPr>
        <w:t xml:space="preserve">по </w:t>
      </w:r>
      <w:bookmarkStart w:id="0" w:name="P38"/>
      <w:bookmarkEnd w:id="0"/>
      <w:r>
        <w:rPr>
          <w:rFonts w:cs="Times New Roman" w:ascii="Times New Roman" w:hAnsi="Times New Roman"/>
          <w:b/>
          <w:sz w:val="26"/>
          <w:szCs w:val="26"/>
        </w:rPr>
        <w:t xml:space="preserve">определению восстановительной стоимости при уничтожении (вырубке, сносе) и (или) повреждении зеленых насаждений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cs="Times New Roman" w:ascii="Times New Roman" w:hAnsi="Times New Roman"/>
          <w:b/>
          <w:sz w:val="26"/>
          <w:szCs w:val="26"/>
        </w:rPr>
        <w:t xml:space="preserve">и компенсационного озеленения на территории </w:t>
      </w: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eastAsia="ru-RU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>»</w:t>
      </w:r>
    </w:p>
    <w:p>
      <w:pPr>
        <w:pStyle w:val="Normal"/>
        <w:keepNext w:val="true"/>
        <w:numPr>
          <w:ilvl w:val="0"/>
          <w:numId w:val="0"/>
        </w:numPr>
        <w:suppressAutoHyphens w:val="true"/>
        <w:spacing w:lineRule="auto" w:line="240" w:before="0" w:after="0"/>
        <w:jc w:val="center"/>
        <w:outlineLvl w:val="0"/>
        <w:rPr>
          <w:rFonts w:ascii="Times New Roman" w:hAnsi="Times New Roman" w:eastAsia="Calibri" w:cs="Times New Roman"/>
          <w:b/>
          <w:b/>
          <w:bCs/>
          <w:color w:val="26282F"/>
          <w:sz w:val="24"/>
          <w:szCs w:val="24"/>
          <w:lang w:eastAsia="ru-RU"/>
        </w:rPr>
      </w:pPr>
      <w:r>
        <w:rPr>
          <w:rFonts w:eastAsia="Calibri" w:cs="Times New Roman" w:ascii="Times New Roman" w:hAnsi="Times New Roman"/>
          <w:b/>
          <w:bCs/>
          <w:color w:val="26282F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708"/>
        <w:jc w:val="both"/>
        <w:rPr/>
      </w:pPr>
      <w:r>
        <w:rPr>
          <w:rFonts w:eastAsia="Calibri" w:ascii="PT Astra Serif" w:hAnsi="PT Astra Serif"/>
          <w:bCs/>
          <w:sz w:val="24"/>
          <w:szCs w:val="24"/>
        </w:rPr>
        <w:t>В соответствии с </w:t>
      </w:r>
      <w:hyperlink r:id="rId3">
        <w:r>
          <w:rPr>
            <w:rStyle w:val="ListLabel1"/>
            <w:rFonts w:eastAsia="Calibri" w:ascii="PT Astra Serif" w:hAnsi="PT Astra Serif"/>
            <w:bCs/>
            <w:sz w:val="24"/>
            <w:szCs w:val="24"/>
          </w:rPr>
          <w:t>Конституцией Российской Федерации</w:t>
        </w:r>
      </w:hyperlink>
      <w:r>
        <w:rPr>
          <w:rFonts w:eastAsia="Calibri" w:ascii="PT Astra Serif" w:hAnsi="PT Astra Serif"/>
          <w:bCs/>
          <w:sz w:val="24"/>
          <w:szCs w:val="24"/>
        </w:rPr>
        <w:t>, </w:t>
      </w:r>
      <w:r>
        <w:fldChar w:fldCharType="begin"/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instrText> HYPERLINK "https://docs.cntd.ru/document/9027690" \l "7D20K3"</w:instrText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fldChar w:fldCharType="separate"/>
      </w:r>
      <w:r>
        <w:rPr>
          <w:rStyle w:val="ListLabel1"/>
          <w:rFonts w:eastAsia="Calibri" w:ascii="PT Astra Serif" w:hAnsi="PT Astra Serif"/>
          <w:bCs/>
          <w:sz w:val="24"/>
          <w:szCs w:val="24"/>
        </w:rPr>
        <w:t>Гражданским кодексом Российской Федерации</w:t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fldChar w:fldCharType="end"/>
      </w:r>
      <w:r>
        <w:rPr>
          <w:rFonts w:eastAsia="Calibri" w:ascii="PT Astra Serif" w:hAnsi="PT Astra Serif"/>
          <w:bCs/>
          <w:sz w:val="24"/>
          <w:szCs w:val="24"/>
        </w:rPr>
        <w:t>, </w:t>
      </w:r>
      <w:hyperlink r:id="rId4">
        <w:r>
          <w:rPr>
            <w:rStyle w:val="ListLabel1"/>
            <w:rFonts w:eastAsia="Calibri" w:ascii="PT Astra Serif" w:hAnsi="PT Astra Serif"/>
            <w:bCs/>
            <w:sz w:val="24"/>
            <w:szCs w:val="24"/>
          </w:rPr>
          <w:t>Федеральным законом от 10 января 2002 года № 7-ФЗ "Об охране окружающей среды"</w:t>
        </w:r>
      </w:hyperlink>
      <w:r>
        <w:rPr>
          <w:rFonts w:eastAsia="Calibri" w:ascii="PT Astra Serif" w:hAnsi="PT Astra Serif"/>
          <w:bCs/>
          <w:sz w:val="24"/>
          <w:szCs w:val="24"/>
        </w:rPr>
        <w:t>, </w:t>
      </w:r>
      <w:r>
        <w:fldChar w:fldCharType="begin"/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instrText> HYPERLINK "https://docs.cntd.ru/document/901876063" \l "7D20K3"</w:instrText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fldChar w:fldCharType="separate"/>
      </w:r>
      <w:r>
        <w:rPr>
          <w:rStyle w:val="ListLabel1"/>
          <w:rFonts w:eastAsia="Calibri" w:ascii="PT Astra Serif" w:hAnsi="PT Astra Serif"/>
          <w:bCs/>
          <w:sz w:val="24"/>
          <w:szCs w:val="24"/>
        </w:rPr>
        <w:t>Федеральным законом от 6 октября 2003 года № 131-ФЗ "Об общих принципах организации местного самоуправления в Российской Федерации"</w:t>
      </w:r>
      <w:r>
        <w:rPr>
          <w:rStyle w:val="ListLabel1"/>
          <w:sz w:val="24"/>
          <w:szCs w:val="24"/>
          <w:bCs/>
          <w:rFonts w:eastAsia="Calibri" w:ascii="PT Astra Serif" w:hAnsi="PT Astra Serif"/>
        </w:rPr>
        <w:fldChar w:fldCharType="end"/>
      </w:r>
      <w:r>
        <w:rPr>
          <w:rFonts w:eastAsia="Calibri" w:ascii="PT Astra Serif" w:hAnsi="PT Astra Serif"/>
          <w:bCs/>
          <w:sz w:val="24"/>
          <w:szCs w:val="24"/>
        </w:rPr>
        <w:t>, в целях рационального использования, улучшения содержания и охраны зеленых насаждений, расположенных на территории сельского поселения Верхнее Санчелеево повышения ответственности юридических лиц и граждан за сохранность зеленых насаждений от несанкционированного осуществления вырубки и возмещения ущерба от вырубки, повреждения и уничтожения зеленых насаждений</w:t>
      </w: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, Устава сельского поселения Верхнее Санчелеево</w:t>
      </w:r>
      <w:r>
        <w:rPr>
          <w:rFonts w:eastAsia="Times New Roman" w:cs="Arial" w:ascii="Arial" w:hAnsi="Arial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администрация сельского поселения Верхнее Санчелеево 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360" w:before="0" w:after="0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ПОСТАНОВЛЯЕТ:</w:t>
      </w:r>
    </w:p>
    <w:p>
      <w:pPr>
        <w:pStyle w:val="Normal"/>
        <w:numPr>
          <w:ilvl w:val="0"/>
          <w:numId w:val="1"/>
        </w:numPr>
        <w:spacing w:lineRule="auto" w:line="240" w:before="0" w:after="0"/>
        <w:contextualSpacing/>
        <w:jc w:val="both"/>
        <w:rPr>
          <w:rFonts w:ascii="Times New Roman" w:hAnsi="Times New Roman" w:eastAsia="Times New Roman" w:cs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sz w:val="26"/>
          <w:szCs w:val="26"/>
        </w:rPr>
        <w:t xml:space="preserve">Утвердить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методику </w:t>
      </w:r>
      <w:r>
        <w:rPr>
          <w:rFonts w:cs="Times New Roman" w:ascii="Times New Roman" w:hAnsi="Times New Roman"/>
          <w:sz w:val="26"/>
          <w:szCs w:val="26"/>
        </w:rPr>
        <w:t xml:space="preserve"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eastAsia="Times New Roman" w:cs="Times New Roman" w:ascii="Times New Roman" w:hAnsi="Times New Roman"/>
          <w:bCs/>
          <w:color w:val="000000"/>
          <w:sz w:val="26"/>
          <w:szCs w:val="26"/>
          <w:lang w:eastAsia="ru-RU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eastAsia="Times New Roman" w:cs="Times New Roman" w:ascii="Times New Roman" w:hAnsi="Times New Roman"/>
          <w:sz w:val="26"/>
          <w:szCs w:val="26"/>
        </w:rPr>
        <w:t xml:space="preserve"> (Приложение 1).</w:t>
      </w:r>
    </w:p>
    <w:p>
      <w:pPr>
        <w:pStyle w:val="Normal"/>
        <w:numPr>
          <w:ilvl w:val="0"/>
          <w:numId w:val="1"/>
        </w:numPr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Опубликовать настоящее постановление в газете «Верхнесанчелеевский Вестник» и на официальном сайте сельского поселения Верхнее Санчелеево в сети Интернет </w:t>
      </w:r>
      <w:r>
        <w:rPr>
          <w:rFonts w:cs="Times New Roman" w:ascii="Times New Roman" w:hAnsi="Times New Roman"/>
          <w:b/>
          <w:sz w:val="24"/>
          <w:szCs w:val="24"/>
        </w:rPr>
        <w:t xml:space="preserve">  </w:t>
      </w:r>
      <w:r>
        <w:rPr>
          <w:rFonts w:cs="Times New Roman" w:ascii="Times New Roman" w:hAnsi="Times New Roman"/>
          <w:b/>
          <w:sz w:val="24"/>
          <w:szCs w:val="24"/>
          <w:lang w:val="en-US"/>
        </w:rPr>
        <w:t>https://v.sancheleevo.stavrsp.ru/</w:t>
      </w:r>
    </w:p>
    <w:p>
      <w:pPr>
        <w:pStyle w:val="Normal"/>
        <w:spacing w:lineRule="auto" w:line="240" w:before="0" w:after="0"/>
        <w:ind w:left="66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1"/>
        </w:numPr>
        <w:spacing w:lineRule="auto" w:line="240" w:before="0" w:after="0"/>
        <w:contextualSpacing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Calibri" w:cs="Times New Roman" w:ascii="Times New Roman" w:hAnsi="Times New Roman"/>
          <w:sz w:val="24"/>
          <w:szCs w:val="24"/>
        </w:rPr>
        <w:t xml:space="preserve">Контроль за исполнением настоящего постановления оставляю за собой.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360" w:before="0" w:after="200"/>
        <w:ind w:left="567" w:hanging="0"/>
        <w:contextualSpacing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0" w:right="0" w:hanging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Глава сельского поселения </w:t>
      </w:r>
    </w:p>
    <w:p>
      <w:pPr>
        <w:pStyle w:val="Normal"/>
        <w:spacing w:lineRule="auto" w:line="240" w:before="0" w:after="0"/>
        <w:ind w:left="0" w:right="0" w:hanging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Верхнее Санчелеево </w:t>
        <w:tab/>
        <w:tab/>
        <w:tab/>
        <w:t xml:space="preserve">                                                  П.В.Чапарин</w:t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                                                                                        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jc w:val="right"/>
        <w:outlineLvl w:val="0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Приложение 1 </w:t>
      </w:r>
      <w:r>
        <w:rPr>
          <w:rFonts w:cs="Times New Roman" w:ascii="Times New Roman" w:hAnsi="Times New Roman"/>
          <w:sz w:val="20"/>
          <w:szCs w:val="20"/>
        </w:rPr>
        <w:t>к постановлению администрации сельского поселения Верхнее Санчелеево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муниципального района Ставропольский  Самарской области 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outlineLvl w:val="0"/>
        <w:rPr/>
      </w:pPr>
      <w:r>
        <w:rPr>
          <w:rFonts w:cs="Times New Roman"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sz w:val="20"/>
          <w:szCs w:val="20"/>
        </w:rPr>
        <w:t xml:space="preserve">От </w:t>
      </w:r>
      <w:r>
        <w:rPr>
          <w:rFonts w:cs="Times New Roman" w:ascii="Times New Roman" w:hAnsi="Times New Roman"/>
          <w:sz w:val="20"/>
          <w:szCs w:val="20"/>
        </w:rPr>
        <w:t xml:space="preserve">13 июня </w:t>
      </w:r>
      <w:r>
        <w:rPr>
          <w:rFonts w:cs="Times New Roman" w:ascii="Times New Roman" w:hAnsi="Times New Roman"/>
          <w:sz w:val="20"/>
          <w:szCs w:val="20"/>
        </w:rPr>
        <w:t xml:space="preserve">.2024 г. № </w:t>
      </w:r>
      <w:r>
        <w:rPr>
          <w:rFonts w:cs="Times New Roman" w:ascii="Times New Roman" w:hAnsi="Times New Roman"/>
          <w:sz w:val="20"/>
          <w:szCs w:val="20"/>
        </w:rPr>
        <w:t>34</w:t>
      </w:r>
      <w:r>
        <w:rPr>
          <w:rFonts w:cs="Times New Roman"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</w:t>
      </w:r>
    </w:p>
    <w:p>
      <w:pPr>
        <w:pStyle w:val="ConsPlusTitle"/>
        <w:ind w:left="-284" w:hanging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Верхнее Санчелеево муниципального района Ставропольский Самарской области</w:t>
      </w:r>
    </w:p>
    <w:p>
      <w:pPr>
        <w:pStyle w:val="ConsPlusTitle"/>
        <w:spacing w:lineRule="auto" w:line="360"/>
        <w:ind w:left="-284" w:hanging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numPr>
          <w:ilvl w:val="0"/>
          <w:numId w:val="0"/>
        </w:numPr>
        <w:spacing w:lineRule="auto" w:line="360"/>
        <w:ind w:right="141" w:firstLine="709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 Общие положения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1.1. 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Верхнее Санчелеево (далее - Методика) предназначена для исчисления размера платежей, подлежащих внесению в бюджет соответствующего сельского поселения сельского поселения Верхнее Санчелеево при уничтожении (вырубке, сносе) и (или) повреждении зеленых насаждений и компенсационного озеленения на территории сельского поселения Верхнее Санчелеево.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1.2. Расчет размера платежей при уничтожении (вырубке, сносе) и (или) повреждении зеленых насаждений и компенсационного озеленения                         на территории сельского поселения Верхнее Санчелеево 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зеленые насаждения – совокупность древесных, кустарниковых травянистых растений на определенной территории;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деревья – растения, имеющие четко выраженный деревянистый ствол (главный (осевой) одревесневший стебель дерева), диаметром не менее 5 см на высоте 1,3 м, за исключением саженцев;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кустарники – многолетние растения, ветвящиеся у самой поверхности почвы (в отличие от деревьев) и не имеющие во взрослом состоянии главного ствола;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травяной покров – газон, естественная травяная растительность;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заросли – деревья и (или) кустарники самосевного и порослевого происхождения, образующие единый сомкнутый полог;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защитные насаждения – зеленые насаждения, предназначенная для обеспечения защиты земель или водных объектов от негативного воздействия,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компенсационное озеленение – воспроизводство зеленых насаждений взамен утраченных.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1.4.Компенсационное озеленение не проводится в случаях: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1) вырубки (сносе)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2) вырубки (сносе) аварийных деревьев;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4) санитарных рубках и рубках ухода, проводимых в установленном порядке;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6) вырубки (сносе) зеленых насаждений, производимой на земельных участках, предоставленных для организации мест погребения, а также при содержании мест погребения;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7) вырубки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8) вырубки (сносе) зеленых насаждений и растительности в соответствии с проектом культуртехнической мелиорации,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9) в границах земельного участка, предоставленного на каком-либо праве,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10) вырубке (сносе) зарослей либо единичных самосевных деревьев или кустарников вне границ населенных пунктов.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1.5. Расчет компенсационной стоимости зеленых насаждений осуществляет администрация сельского поселения Верхнее Санчелеево муниципального района Ставропольский Самарской области на основании Методики.</w:t>
      </w:r>
    </w:p>
    <w:p>
      <w:pPr>
        <w:pStyle w:val="ConsPlusNormal"/>
        <w:numPr>
          <w:ilvl w:val="0"/>
          <w:numId w:val="0"/>
        </w:numPr>
        <w:spacing w:lineRule="auto" w:line="360"/>
        <w:ind w:right="141" w:firstLine="709"/>
        <w:jc w:val="center"/>
        <w:outlineLvl w:val="1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  <w:bookmarkStart w:id="1" w:name="P77"/>
      <w:bookmarkStart w:id="2" w:name="P77"/>
      <w:bookmarkEnd w:id="2"/>
    </w:p>
    <w:p>
      <w:pPr>
        <w:pStyle w:val="ConsPlusNormal"/>
        <w:numPr>
          <w:ilvl w:val="0"/>
          <w:numId w:val="0"/>
        </w:numPr>
        <w:ind w:right="141" w:firstLine="709"/>
        <w:jc w:val="center"/>
        <w:outlineLvl w:val="1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2. Расчет компенсационной стоимости при уничтожении</w:t>
      </w:r>
    </w:p>
    <w:p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(вырубке, сносе) и (или) повреждении зеленых насаждений</w:t>
      </w:r>
    </w:p>
    <w:p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2.1. Компенсационная стоимость зеленых насаждений определяется по формуле: </w:t>
      </w:r>
    </w:p>
    <w:p>
      <w:pPr>
        <w:pStyle w:val="ConsPlusNormal"/>
        <w:spacing w:lineRule="auto" w:line="360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 xml:space="preserve">Ск = (Сбц x Ксост x Кд) x </w:t>
      </w:r>
      <w:r>
        <w:rPr>
          <w:rFonts w:cs="Times New Roman" w:ascii="Times New Roman" w:hAnsi="Times New Roman"/>
          <w:b/>
          <w:sz w:val="26"/>
          <w:szCs w:val="26"/>
          <w:lang w:val="en-US"/>
        </w:rPr>
        <w:t>N</w:t>
      </w:r>
      <w:r>
        <w:rPr>
          <w:rFonts w:cs="Times New Roman" w:ascii="Times New Roman" w:hAnsi="Times New Roman"/>
          <w:sz w:val="26"/>
          <w:szCs w:val="26"/>
        </w:rPr>
        <w:t>, где: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Ск – компенсационная стоимость</w:t>
      </w:r>
      <w:r>
        <w:rPr>
          <w:sz w:val="26"/>
          <w:szCs w:val="26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>зеленых насаждений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Сбц-базовая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Ксост – коэффициент поправки на текущее состояние сносимых зеленых насаждений;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Кд – коэффициент поправки, учитывающий возраст сносимого дерева;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  <w:lang w:val="en-US"/>
        </w:rPr>
        <w:t>N</w:t>
      </w:r>
      <w:r>
        <w:rPr>
          <w:rFonts w:cs="Times New Roman" w:ascii="Times New Roman" w:hAnsi="Times New Roman"/>
          <w:sz w:val="26"/>
          <w:szCs w:val="26"/>
        </w:rPr>
        <w:t xml:space="preserve"> – количество зеленых насаждений </w:t>
      </w:r>
      <w:r>
        <w:rPr>
          <w:rFonts w:cs="Times New Roman" w:ascii="Times New Roman" w:hAnsi="Times New Roman"/>
          <w:sz w:val="26"/>
          <w:szCs w:val="26"/>
          <w:lang w:val="en-US"/>
        </w:rPr>
        <w:t>i</w:t>
      </w:r>
      <w:r>
        <w:rPr>
          <w:rFonts w:cs="Times New Roman" w:ascii="Times New Roman" w:hAnsi="Times New Roman"/>
          <w:sz w:val="26"/>
          <w:szCs w:val="26"/>
        </w:rPr>
        <w:t xml:space="preserve">-го вида, подлежащих уничтожению.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2.2. При незаконном сносе (уничтожении) компенсационная стоимость зеленых насаждений (Ск) умножается на коэффициент пять.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2.3. Базовая цена </w:t>
      </w:r>
      <w:r>
        <w:rPr>
          <w:rFonts w:cs="Times New Roman" w:ascii="Times New Roman" w:hAnsi="Times New Roman"/>
          <w:b/>
          <w:sz w:val="26"/>
          <w:szCs w:val="26"/>
        </w:rPr>
        <w:t>дерева</w:t>
      </w:r>
      <w:r>
        <w:rPr>
          <w:rFonts w:cs="Times New Roman" w:ascii="Times New Roman" w:hAnsi="Times New Roman"/>
          <w:sz w:val="26"/>
          <w:szCs w:val="26"/>
        </w:rPr>
        <w:t xml:space="preserve"> определяется в зависимости от породы по формуле:</w:t>
      </w:r>
    </w:p>
    <w:p>
      <w:pPr>
        <w:pStyle w:val="ConsPlusNormal"/>
        <w:spacing w:lineRule="auto" w:line="360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Сбцд = (Сп</w:t>
      </w:r>
      <w:r>
        <w:rPr>
          <w:rFonts w:cs="Times New Roman" w:ascii="Times New Roman" w:hAnsi="Times New Roman"/>
          <w:sz w:val="26"/>
          <w:szCs w:val="26"/>
          <w:lang w:val="en-US"/>
        </w:rPr>
        <w:t>g</w:t>
      </w:r>
      <w:r>
        <w:rPr>
          <w:rFonts w:cs="Times New Roman" w:ascii="Times New Roman" w:hAnsi="Times New Roman"/>
          <w:sz w:val="26"/>
          <w:szCs w:val="26"/>
        </w:rPr>
        <w:t xml:space="preserve"> + Су x Квп) x Кц, где: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Сбцд - базовая цена одного дерева на текущий период, руб.;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Сп - сметная стоимость посадки одного дерева с комом с учетом стоимости посадочного материала (дерева),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  <w:lang w:val="en-US"/>
        </w:rPr>
        <w:t>g</w:t>
      </w:r>
      <w:r>
        <w:rPr>
          <w:rFonts w:cs="Times New Roman" w:ascii="Times New Roman" w:hAnsi="Times New Roman"/>
          <w:sz w:val="26"/>
          <w:szCs w:val="26"/>
        </w:rPr>
        <w:t xml:space="preserve"> – группа зеленых насаждений;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Су - сметная стоимость годового ухода за одним деревом на текущий период,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Квп - количество лет восстановительного периода, учитываемого при расчете затрат на восстановление деревьев на текущий период;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Кц - коэффициент ценности дерева.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2.4. Базовая цена одного </w:t>
      </w:r>
      <w:r>
        <w:rPr>
          <w:rFonts w:cs="Times New Roman" w:ascii="Times New Roman" w:hAnsi="Times New Roman"/>
          <w:b/>
          <w:sz w:val="26"/>
          <w:szCs w:val="26"/>
        </w:rPr>
        <w:t>кустарника</w:t>
      </w:r>
      <w:r>
        <w:rPr>
          <w:rFonts w:cs="Times New Roman" w:ascii="Times New Roman" w:hAnsi="Times New Roman"/>
          <w:sz w:val="26"/>
          <w:szCs w:val="26"/>
        </w:rPr>
        <w:t>, 1 погонного метра живой изгороди определяется по формуле:</w:t>
      </w:r>
    </w:p>
    <w:p>
      <w:pPr>
        <w:pStyle w:val="ConsPlusNormal"/>
        <w:spacing w:lineRule="auto" w:line="360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Сбцк = Сп + Су x Квп, где: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Сбцк - базовая цена одного кустарника, 1 погонного метра живой изгороди на текущий период, руб.;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Сп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Су - сметная стоимость годового ухода за одним кустарником, 1 погонного метра живой изгороди на текущий период,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Квп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2.5. Базовая цена </w:t>
      </w:r>
      <w:r>
        <w:rPr>
          <w:rFonts w:cs="Times New Roman" w:ascii="Times New Roman" w:hAnsi="Times New Roman"/>
          <w:b/>
          <w:sz w:val="26"/>
          <w:szCs w:val="26"/>
        </w:rPr>
        <w:t>травяного покрова</w:t>
      </w:r>
      <w:r>
        <w:rPr>
          <w:rFonts w:cs="Times New Roman" w:ascii="Times New Roman" w:hAnsi="Times New Roman"/>
          <w:sz w:val="26"/>
          <w:szCs w:val="26"/>
        </w:rPr>
        <w:t xml:space="preserve"> определяется по следующей формуле:</w:t>
      </w:r>
    </w:p>
    <w:p>
      <w:pPr>
        <w:pStyle w:val="ConsPlusNormal"/>
        <w:spacing w:lineRule="auto" w:line="360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Сбцт = Сп + Су, где: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Сбцт – базовая цена 1 квадратного метра травяного покрова на текущий период,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Сп - сметная стоимость устройства 1 квадратного метра газона с учетом стоимости посадочного материала на текущий период, руб;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Су - сметная стоимость годового ухода за 1 квадратным метром газона на текущий период, руб.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2.6.</w:t>
      </w:r>
      <w:r>
        <w:rPr>
          <w:sz w:val="26"/>
          <w:szCs w:val="26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>Породы различных деревьев и кустарников на территории сельского поселения Верхнее Санчелеево по своей ценности (декоративным свойствам) объединяются в группы.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Выделяются 4 группы:</w:t>
      </w:r>
    </w:p>
    <w:p>
      <w:pPr>
        <w:pStyle w:val="ConsPlusNormal"/>
        <w:numPr>
          <w:ilvl w:val="0"/>
          <w:numId w:val="2"/>
        </w:numPr>
        <w:spacing w:lineRule="auto" w:line="360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хвойные деревья и кустарники;</w:t>
      </w:r>
    </w:p>
    <w:p>
      <w:pPr>
        <w:pStyle w:val="ConsPlusNormal"/>
        <w:numPr>
          <w:ilvl w:val="0"/>
          <w:numId w:val="2"/>
        </w:numPr>
        <w:spacing w:lineRule="auto" w:line="360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1-я группа лиственных деревьев и кустарников (особо ценные);</w:t>
      </w:r>
    </w:p>
    <w:p>
      <w:pPr>
        <w:pStyle w:val="ConsPlusNormal"/>
        <w:numPr>
          <w:ilvl w:val="0"/>
          <w:numId w:val="2"/>
        </w:numPr>
        <w:spacing w:lineRule="auto" w:line="360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2-я группа лиственных деревьев и кустарников (ценные);</w:t>
      </w:r>
    </w:p>
    <w:p>
      <w:pPr>
        <w:pStyle w:val="ConsPlusNormal"/>
        <w:spacing w:lineRule="auto" w:line="360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4) 3-я группа лиственных деревьев и кустарников (малоценные).</w:t>
      </w:r>
    </w:p>
    <w:p>
      <w:pPr>
        <w:pStyle w:val="ConsPlusNormal"/>
        <w:spacing w:lineRule="auto" w:line="360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tbl>
      <w:tblPr>
        <w:tblW w:w="9238" w:type="dxa"/>
        <w:jc w:val="left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2255"/>
        <w:gridCol w:w="2215"/>
        <w:gridCol w:w="209"/>
        <w:gridCol w:w="2204"/>
        <w:gridCol w:w="51"/>
        <w:gridCol w:w="2303"/>
      </w:tblGrid>
      <w:tr>
        <w:trPr/>
        <w:tc>
          <w:tcPr>
            <w:tcW w:w="2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 группа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 группа</w:t>
            </w:r>
          </w:p>
        </w:tc>
        <w:tc>
          <w:tcPr>
            <w:tcW w:w="24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3 группа</w:t>
            </w:r>
          </w:p>
        </w:tc>
        <w:tc>
          <w:tcPr>
            <w:tcW w:w="23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 группа</w:t>
            </w:r>
          </w:p>
        </w:tc>
      </w:tr>
      <w:tr>
        <w:trPr/>
        <w:tc>
          <w:tcPr>
            <w:tcW w:w="22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bookmarkStart w:id="3" w:name="P149"/>
            <w:bookmarkEnd w:id="3"/>
            <w:r>
              <w:rPr>
                <w:rFonts w:cs="Times New Roman" w:ascii="Times New Roman" w:hAnsi="Times New Roman"/>
                <w:sz w:val="26"/>
                <w:szCs w:val="26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Лиственные деревья и кустарники</w:t>
            </w:r>
          </w:p>
        </w:tc>
      </w:tr>
      <w:tr>
        <w:trPr/>
        <w:tc>
          <w:tcPr>
            <w:tcW w:w="22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1-я группа</w:t>
            </w:r>
          </w:p>
        </w:tc>
        <w:tc>
          <w:tcPr>
            <w:tcW w:w="2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2-я группа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3-я группа</w:t>
            </w:r>
          </w:p>
        </w:tc>
      </w:tr>
      <w:tr>
        <w:trPr/>
        <w:tc>
          <w:tcPr>
            <w:tcW w:w="2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Ель, кедр, лиственница, пихта, сосна, туя, можжевельник, тис, другие хвойные породы</w:t>
            </w:r>
          </w:p>
        </w:tc>
        <w:tc>
          <w:tcPr>
            <w:tcW w:w="2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Акация белая, бархат амурский, вяз, дуб, ива (белая, вавилонская, остролистная, русская), каштан конский, клен (кроме клена ясенелистного), липа, лох, орех, ясень; кустарники: самшит, бирючина (особенно пестролистные формы), форзиция, рододендрон, широколиственные породы</w:t>
            </w:r>
          </w:p>
        </w:tc>
        <w:tc>
          <w:tcPr>
            <w:tcW w:w="2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боярышник, снежноягодник, пузыреплодник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Ива (кроме указанных в 1-й группе), клен ясенелистный, ольха, осина, тополь (бальзамический); кустарники: арония, крушина, бересклет, дикорастущие виды кустарниковых ив, другие лиственные породы</w:t>
            </w:r>
          </w:p>
        </w:tc>
      </w:tr>
    </w:tbl>
    <w:p>
      <w:pPr>
        <w:pStyle w:val="ConsPlusNormal"/>
        <w:spacing w:lineRule="auto" w:line="360"/>
        <w:ind w:right="-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Не перечисленные породы деревьев и кустарников приравниваются к соответствующей группе по схожим признакам.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2.7. При расчете компенсационной стоимости зеленые насаждения подсчитываются поштучно.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Клен ясенелистный считать одним деревом независимо от количества стволов, растущих из одного корня. 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Самосевные деревья, относящиеся к 3-й группе лиственных деревьев (малоценных) и не достигшие в диаметре ствола 5 см, при расчете компенсационной стоимости не учитываются.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2.8. Стоимость работ по посадке зеленых насаждений (Сп)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сельского поселения Верхнее Санчелеево 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необходимо предусмотреть индекс-дефлятор.</w:t>
      </w:r>
    </w:p>
    <w:p>
      <w:pPr>
        <w:pStyle w:val="Normal"/>
        <w:widowControl w:val="false"/>
        <w:spacing w:lineRule="auto" w:line="360" w:before="0" w:after="0"/>
        <w:ind w:right="141" w:firstLine="709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2.9. Значения коэффициентов:</w:t>
      </w:r>
    </w:p>
    <w:p>
      <w:pPr>
        <w:pStyle w:val="Normal"/>
        <w:widowControl w:val="false"/>
        <w:spacing w:lineRule="auto" w:line="360" w:before="0" w:after="0"/>
        <w:ind w:right="141"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2.9.1.Коэффициент поправки на текущее состояние зеленых насаждений, деревьев, кустарников (</w:t>
      </w:r>
      <w:r>
        <w:rPr>
          <w:rFonts w:cs="Times New Roman" w:ascii="Times New Roman" w:hAnsi="Times New Roman"/>
          <w:b/>
          <w:sz w:val="26"/>
          <w:szCs w:val="26"/>
        </w:rPr>
        <w:t>Ксост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):</w:t>
      </w:r>
    </w:p>
    <w:tbl>
      <w:tblPr>
        <w:tblW w:w="949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1" w:noVBand="1" w:lastRow="0" w:firstColumn="1" w:lastColumn="0" w:noHBand="0" w:val="04a0"/>
      </w:tblPr>
      <w:tblGrid>
        <w:gridCol w:w="3260"/>
        <w:gridCol w:w="1701"/>
        <w:gridCol w:w="2129"/>
        <w:gridCol w:w="2407"/>
      </w:tblGrid>
      <w:tr>
        <w:trPr>
          <w:trHeight w:val="918" w:hRule="atLeast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405" w:leader="none"/>
                <w:tab w:val="center" w:pos="930" w:leader="none"/>
              </w:tabs>
              <w:spacing w:before="0" w:after="0"/>
              <w:ind w:left="-284" w:hanging="0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ab/>
            </w:r>
          </w:p>
          <w:p>
            <w:pPr>
              <w:pStyle w:val="Normal"/>
              <w:widowControl w:val="false"/>
              <w:tabs>
                <w:tab w:val="clear" w:pos="708"/>
                <w:tab w:val="left" w:pos="405" w:leader="none"/>
                <w:tab w:val="center" w:pos="930" w:leader="none"/>
              </w:tabs>
              <w:spacing w:before="0" w:after="0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ab/>
              <w:t>хорошее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right="-137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удовлетворительное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13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 xml:space="preserve">пухонесущие </w:t>
            </w:r>
          </w:p>
          <w:p>
            <w:pPr>
              <w:pStyle w:val="Normal"/>
              <w:widowControl w:val="false"/>
              <w:spacing w:before="0" w:after="0"/>
              <w:ind w:left="13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тополя</w:t>
            </w:r>
          </w:p>
        </w:tc>
      </w:tr>
      <w:tr>
        <w:trPr/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коэффициент поправки на текущее состояние зеленых насаждений, деревьев, кустарников,</w:t>
            </w:r>
            <w:r>
              <w:rPr>
                <w:rFonts w:eastAsia="Times New Roman" w:cs="Times New Roman" w:ascii="Times New Roman" w:hAnsi="Times New Roman"/>
                <w:b/>
                <w:sz w:val="26"/>
                <w:szCs w:val="26"/>
              </w:rPr>
              <w:t xml:space="preserve"> Ксост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1,2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1,0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spacing w:before="0" w:after="0"/>
              <w:ind w:left="-284" w:hanging="0"/>
              <w:jc w:val="center"/>
              <w:rPr>
                <w:rFonts w:ascii="Times New Roman" w:hAnsi="Times New Roman" w:eastAsia="Times New Roman" w:cs="Times New Roman"/>
                <w:sz w:val="26"/>
                <w:szCs w:val="26"/>
              </w:rPr>
            </w:pPr>
            <w:r>
              <w:rPr>
                <w:rFonts w:eastAsia="Times New Roman" w:cs="Times New Roman" w:ascii="Times New Roman" w:hAnsi="Times New Roman"/>
                <w:sz w:val="26"/>
                <w:szCs w:val="26"/>
              </w:rPr>
              <w:t>0,5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-284" w:firstLine="540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widowControl w:val="false"/>
        <w:spacing w:lineRule="auto" w:line="360" w:before="0" w:after="0"/>
        <w:ind w:firstLine="709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В случае невозможности определения видового состава и фактического состояния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(Ксост) = 1,0.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>
        <w:rPr>
          <w:rFonts w:cs="Times New Roman" w:ascii="Times New Roman" w:hAnsi="Times New Roman"/>
          <w:b/>
          <w:sz w:val="26"/>
          <w:szCs w:val="26"/>
        </w:rPr>
        <w:t>Кд</w:t>
      </w:r>
      <w:r>
        <w:rPr>
          <w:rFonts w:cs="Times New Roman" w:ascii="Times New Roman" w:hAnsi="Times New Roman"/>
          <w:sz w:val="26"/>
          <w:szCs w:val="26"/>
        </w:rPr>
        <w:t>)</w:t>
      </w:r>
    </w:p>
    <w:tbl>
      <w:tblPr>
        <w:tblW w:w="9507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1" w:noVBand="1" w:lastRow="0" w:firstColumn="1" w:lastColumn="0" w:noHBand="0" w:val="04a0"/>
      </w:tblPr>
      <w:tblGrid>
        <w:gridCol w:w="2756"/>
        <w:gridCol w:w="1505"/>
        <w:gridCol w:w="1734"/>
        <w:gridCol w:w="1756"/>
        <w:gridCol w:w="1756"/>
      </w:tblGrid>
      <w:tr>
        <w:trPr/>
        <w:tc>
          <w:tcPr>
            <w:tcW w:w="2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Диаметр дерева</w:t>
            </w:r>
          </w:p>
        </w:tc>
      </w:tr>
      <w:tr>
        <w:trPr/>
        <w:tc>
          <w:tcPr>
            <w:tcW w:w="275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До 12 см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40,1 - 80 см</w:t>
            </w:r>
          </w:p>
        </w:tc>
      </w:tr>
      <w:tr>
        <w:trPr/>
        <w:tc>
          <w:tcPr>
            <w:tcW w:w="275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6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Количество лет восстановительного периода</w:t>
            </w:r>
          </w:p>
        </w:tc>
      </w:tr>
      <w:tr>
        <w:trPr/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Хвойные породы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10 лет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70 лет</w:t>
            </w:r>
          </w:p>
        </w:tc>
      </w:tr>
      <w:tr>
        <w:trPr/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 группа: дуб, липа, клен, вяз, ясень, каштан, плодовые деревья, осокорь, акация белая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7 лет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60 лет</w:t>
            </w:r>
          </w:p>
        </w:tc>
      </w:tr>
      <w:tr>
        <w:trPr/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 группа: осина, береза, вяз м/л, клен ясеневидный, боярышник, рябина, черемуха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5 лет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50 лет</w:t>
            </w:r>
          </w:p>
        </w:tc>
      </w:tr>
      <w:tr>
        <w:trPr/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3 группа: тополь, ива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 года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50 лет</w:t>
            </w:r>
          </w:p>
        </w:tc>
      </w:tr>
      <w:tr>
        <w:trPr/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Коэффициент поправки, </w:t>
            </w:r>
            <w:r>
              <w:rPr>
                <w:rFonts w:cs="Times New Roman" w:ascii="Times New Roman" w:hAnsi="Times New Roman"/>
                <w:b/>
                <w:sz w:val="26"/>
                <w:szCs w:val="26"/>
              </w:rPr>
              <w:t>Кд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</w:t>
            </w:r>
          </w:p>
        </w:tc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1,2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1,5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spacing w:lineRule="auto" w:line="36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2,0</w:t>
            </w:r>
          </w:p>
        </w:tc>
      </w:tr>
    </w:tbl>
    <w:p>
      <w:pPr>
        <w:pStyle w:val="ConsPlusNormal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spacing w:lineRule="auto" w:line="360"/>
        <w:ind w:left="-284"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2.9.3. Коэффициент количества лет восстановительного периода (периода, в течение которого диаметр саженца достигнет размера, соответствующего диаметру снесенного дерева) (</w:t>
      </w:r>
      <w:r>
        <w:rPr>
          <w:rFonts w:cs="Times New Roman" w:ascii="Times New Roman" w:hAnsi="Times New Roman"/>
          <w:b/>
          <w:sz w:val="26"/>
          <w:szCs w:val="26"/>
        </w:rPr>
        <w:t>Квп</w:t>
      </w:r>
      <w:r>
        <w:rPr>
          <w:rFonts w:cs="Times New Roman" w:ascii="Times New Roman" w:hAnsi="Times New Roman"/>
          <w:sz w:val="26"/>
          <w:szCs w:val="26"/>
        </w:rPr>
        <w:t>):</w:t>
      </w:r>
    </w:p>
    <w:tbl>
      <w:tblPr>
        <w:tblStyle w:val="a5"/>
        <w:tblW w:w="9504" w:type="dxa"/>
        <w:jc w:val="left"/>
        <w:tblInd w:w="-289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37"/>
        <w:gridCol w:w="4966"/>
      </w:tblGrid>
      <w:tr>
        <w:trPr/>
        <w:tc>
          <w:tcPr>
            <w:tcW w:w="4537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Вид зеленых насаждений</w:t>
            </w:r>
          </w:p>
        </w:tc>
        <w:tc>
          <w:tcPr>
            <w:tcW w:w="4966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Коэффициент количества лет восстановительного периода, </w:t>
            </w:r>
            <w:r>
              <w:rPr>
                <w:rFonts w:cs="Times New Roman" w:ascii="Times New Roman" w:hAnsi="Times New Roman"/>
                <w:b/>
                <w:sz w:val="26"/>
                <w:szCs w:val="26"/>
              </w:rPr>
              <w:t>Квп</w:t>
            </w:r>
          </w:p>
        </w:tc>
      </w:tr>
      <w:tr>
        <w:trPr/>
        <w:tc>
          <w:tcPr>
            <w:tcW w:w="4537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Деревья</w:t>
            </w:r>
          </w:p>
        </w:tc>
        <w:tc>
          <w:tcPr>
            <w:tcW w:w="4966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3</w:t>
            </w:r>
          </w:p>
        </w:tc>
      </w:tr>
      <w:tr>
        <w:trPr/>
        <w:tc>
          <w:tcPr>
            <w:tcW w:w="4537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Кустарники</w:t>
            </w:r>
          </w:p>
        </w:tc>
        <w:tc>
          <w:tcPr>
            <w:tcW w:w="4966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</w:t>
            </w:r>
          </w:p>
        </w:tc>
      </w:tr>
      <w:tr>
        <w:trPr/>
        <w:tc>
          <w:tcPr>
            <w:tcW w:w="4537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Газоны и цветники</w:t>
            </w:r>
          </w:p>
        </w:tc>
        <w:tc>
          <w:tcPr>
            <w:tcW w:w="4966" w:type="dxa"/>
            <w:tcBorders/>
            <w:shd w:fill="auto" w:val="clear"/>
          </w:tcPr>
          <w:p>
            <w:pPr>
              <w:pStyle w:val="ConsPlus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</w:t>
            </w:r>
          </w:p>
        </w:tc>
      </w:tr>
    </w:tbl>
    <w:p>
      <w:pPr>
        <w:pStyle w:val="ConsPlusNormal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spacing w:lineRule="auto" w:line="360"/>
        <w:ind w:left="-284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ab/>
        <w:t>2.9.4. Коэффициента ценности в зависимости от группы ценности дерева и диаметра ствола (</w:t>
      </w:r>
      <w:r>
        <w:rPr>
          <w:rFonts w:cs="Times New Roman" w:ascii="Times New Roman" w:hAnsi="Times New Roman"/>
          <w:b/>
          <w:sz w:val="26"/>
          <w:szCs w:val="26"/>
        </w:rPr>
        <w:t>Кц</w:t>
      </w:r>
      <w:r>
        <w:rPr>
          <w:rFonts w:cs="Times New Roman" w:ascii="Times New Roman" w:hAnsi="Times New Roman"/>
          <w:sz w:val="26"/>
          <w:szCs w:val="26"/>
        </w:rPr>
        <w:t>)</w:t>
      </w:r>
    </w:p>
    <w:tbl>
      <w:tblPr>
        <w:tblW w:w="9442" w:type="dxa"/>
        <w:jc w:val="left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624"/>
        <w:gridCol w:w="4055"/>
        <w:gridCol w:w="2835"/>
        <w:gridCol w:w="1927"/>
      </w:tblGrid>
      <w:tr>
        <w:trPr/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right="-320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№ </w:t>
            </w:r>
          </w:p>
          <w:p>
            <w:pPr>
              <w:pStyle w:val="ConsPlusNormal"/>
              <w:ind w:right="-320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п/п</w:t>
            </w:r>
          </w:p>
        </w:tc>
        <w:tc>
          <w:tcPr>
            <w:tcW w:w="4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118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Диаметры,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3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Коэффициент ценности дерева, </w:t>
            </w:r>
            <w:r>
              <w:rPr>
                <w:rFonts w:cs="Times New Roman" w:ascii="Times New Roman" w:hAnsi="Times New Roman"/>
                <w:b/>
                <w:sz w:val="26"/>
                <w:szCs w:val="26"/>
              </w:rPr>
              <w:t>Кц</w:t>
            </w:r>
          </w:p>
        </w:tc>
      </w:tr>
      <w:tr>
        <w:trPr/>
        <w:tc>
          <w:tcPr>
            <w:tcW w:w="94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Хвойные породы</w:t>
            </w:r>
          </w:p>
        </w:tc>
      </w:tr>
      <w:tr>
        <w:trPr/>
        <w:tc>
          <w:tcPr>
            <w:tcW w:w="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1.</w:t>
            </w:r>
          </w:p>
        </w:tc>
        <w:tc>
          <w:tcPr>
            <w:tcW w:w="40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Деревья хвойные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6,0 - 12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0,6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12,1 - 24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0,8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24,1 - 40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1,0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40,1 и более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1,2</w:t>
            </w:r>
          </w:p>
        </w:tc>
      </w:tr>
      <w:tr>
        <w:trPr/>
        <w:tc>
          <w:tcPr>
            <w:tcW w:w="94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  <w:highlight w:val="lightGray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Лиственные породы</w:t>
            </w:r>
          </w:p>
        </w:tc>
      </w:tr>
      <w:tr>
        <w:trPr/>
        <w:tc>
          <w:tcPr>
            <w:tcW w:w="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2.</w:t>
            </w:r>
          </w:p>
        </w:tc>
        <w:tc>
          <w:tcPr>
            <w:tcW w:w="40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Деревья лиственные 1-й группы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6,0 - 12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0,6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12,1 - 24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0,8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24,1 - 40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1,0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40,1 и более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1,2</w:t>
            </w:r>
          </w:p>
        </w:tc>
      </w:tr>
      <w:tr>
        <w:trPr/>
        <w:tc>
          <w:tcPr>
            <w:tcW w:w="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3.</w:t>
            </w:r>
          </w:p>
        </w:tc>
        <w:tc>
          <w:tcPr>
            <w:tcW w:w="40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Деревья лиственные 2-й группы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6,0 - 12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0,6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12,1 - 24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0,8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24,1 - 40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1,0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40,1 и более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1,0</w:t>
            </w:r>
          </w:p>
        </w:tc>
      </w:tr>
      <w:tr>
        <w:trPr/>
        <w:tc>
          <w:tcPr>
            <w:tcW w:w="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4.</w:t>
            </w:r>
          </w:p>
        </w:tc>
        <w:tc>
          <w:tcPr>
            <w:tcW w:w="40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Деревья лиственные 3-й группы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6,0 - 12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0,6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12,1 - 24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0,8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24,1 - 40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1,0</w:t>
            </w:r>
          </w:p>
        </w:tc>
      </w:tr>
      <w:tr>
        <w:trPr/>
        <w:tc>
          <w:tcPr>
            <w:tcW w:w="6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405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-284" w:hanging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40,1 и более см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ind w:left="-284" w:hanging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0,8</w:t>
            </w:r>
          </w:p>
        </w:tc>
      </w:tr>
    </w:tbl>
    <w:p>
      <w:pPr>
        <w:pStyle w:val="ConsPlusNormal"/>
        <w:spacing w:lineRule="auto" w:line="360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4" w:name="P368"/>
      <w:bookmarkEnd w:id="4"/>
      <w:r>
        <w:rPr>
          <w:rFonts w:cs="Times New Roman" w:ascii="Times New Roman" w:hAnsi="Times New Roman"/>
          <w:sz w:val="26"/>
          <w:szCs w:val="26"/>
        </w:rPr>
        <w:t>2.9.6. 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саженца кустарника).</w:t>
      </w:r>
    </w:p>
    <w:p>
      <w:pPr>
        <w:pStyle w:val="ConsPlusNormal"/>
        <w:spacing w:lineRule="auto" w:line="360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Расчет сметы производится в соответствии с федеральными единичными расценками, которая устанавливается путем подготовки локального сметного расчета на посадку одного зеленого насаждения (ФЕР 81-02-47-2001, часть № 47, утвержденные Приказом Мин</w:t>
      </w:r>
      <w:bookmarkStart w:id="5" w:name="_GoBack"/>
      <w:bookmarkEnd w:id="5"/>
      <w:r>
        <w:rPr>
          <w:rFonts w:cs="Times New Roman" w:ascii="Times New Roman" w:hAnsi="Times New Roman"/>
          <w:sz w:val="26"/>
          <w:szCs w:val="26"/>
        </w:rPr>
        <w:t>истерства строительства и жилищно-коммунального хозяйства Российской Федерации от 16.12.2019 № 876/пр).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jc w:val="both"/>
        <w:outlineLvl w:val="0"/>
        <w:rPr/>
      </w:pPr>
      <w:r>
        <w:rPr>
          <w:rFonts w:cs="Times New Roman" w:ascii="Times New Roman" w:hAnsi="Times New Roman"/>
          <w:sz w:val="26"/>
          <w:szCs w:val="26"/>
        </w:rPr>
        <w:t xml:space="preserve">                                                      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PT Astra Serif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660" w:hanging="360"/>
      </w:pPr>
    </w:lvl>
    <w:lvl w:ilvl="1">
      <w:start w:val="1"/>
      <w:numFmt w:val="lowerLetter"/>
      <w:lvlText w:val="%2."/>
      <w:lvlJc w:val="left"/>
      <w:pPr>
        <w:ind w:left="1380" w:hanging="360"/>
      </w:pPr>
    </w:lvl>
    <w:lvl w:ilvl="2">
      <w:start w:val="1"/>
      <w:numFmt w:val="lowerRoman"/>
      <w:lvlText w:val="%3."/>
      <w:lvlJc w:val="right"/>
      <w:pPr>
        <w:ind w:left="2100" w:hanging="180"/>
      </w:pPr>
    </w:lvl>
    <w:lvl w:ilvl="3">
      <w:start w:val="1"/>
      <w:numFmt w:val="decimal"/>
      <w:lvlText w:val="%4."/>
      <w:lvlJc w:val="left"/>
      <w:pPr>
        <w:ind w:left="2820" w:hanging="360"/>
      </w:pPr>
    </w:lvl>
    <w:lvl w:ilvl="4">
      <w:start w:val="1"/>
      <w:numFmt w:val="lowerLetter"/>
      <w:lvlText w:val="%5."/>
      <w:lvlJc w:val="left"/>
      <w:pPr>
        <w:ind w:left="3540" w:hanging="360"/>
      </w:pPr>
    </w:lvl>
    <w:lvl w:ilvl="5">
      <w:start w:val="1"/>
      <w:numFmt w:val="lowerRoman"/>
      <w:lvlText w:val="%6."/>
      <w:lvlJc w:val="right"/>
      <w:pPr>
        <w:ind w:left="4260" w:hanging="180"/>
      </w:pPr>
    </w:lvl>
    <w:lvl w:ilvl="6">
      <w:start w:val="1"/>
      <w:numFmt w:val="decimal"/>
      <w:lvlText w:val="%7."/>
      <w:lvlJc w:val="left"/>
      <w:pPr>
        <w:ind w:left="4980" w:hanging="360"/>
      </w:pPr>
    </w:lvl>
    <w:lvl w:ilvl="7">
      <w:start w:val="1"/>
      <w:numFmt w:val="lowerLetter"/>
      <w:lvlText w:val="%8."/>
      <w:lvlJc w:val="left"/>
      <w:pPr>
        <w:ind w:left="5700" w:hanging="360"/>
      </w:pPr>
    </w:lvl>
    <w:lvl w:ilvl="8">
      <w:start w:val="1"/>
      <w:numFmt w:val="lowerRoman"/>
      <w:lvlText w:val="%9."/>
      <w:lvlJc w:val="right"/>
      <w:pPr>
        <w:ind w:left="6420" w:hanging="180"/>
      </w:pPr>
    </w:lvl>
  </w:abstractNum>
  <w:abstractNum w:abstractNumId="2">
    <w:lvl w:ilvl="0">
      <w:start w:val="1"/>
      <w:numFmt w:val="decimal"/>
      <w:lvlText w:val="%1)"/>
      <w:lvlJc w:val="left"/>
      <w:pPr>
        <w:ind w:left="616" w:hanging="360"/>
      </w:pPr>
    </w:lvl>
    <w:lvl w:ilvl="1">
      <w:start w:val="1"/>
      <w:numFmt w:val="lowerLetter"/>
      <w:lvlText w:val="%2."/>
      <w:lvlJc w:val="left"/>
      <w:pPr>
        <w:ind w:left="1336" w:hanging="360"/>
      </w:pPr>
    </w:lvl>
    <w:lvl w:ilvl="2">
      <w:start w:val="1"/>
      <w:numFmt w:val="lowerRoman"/>
      <w:lvlText w:val="%3."/>
      <w:lvlJc w:val="right"/>
      <w:pPr>
        <w:ind w:left="2056" w:hanging="180"/>
      </w:pPr>
    </w:lvl>
    <w:lvl w:ilvl="3">
      <w:start w:val="1"/>
      <w:numFmt w:val="decimal"/>
      <w:lvlText w:val="%4."/>
      <w:lvlJc w:val="left"/>
      <w:pPr>
        <w:ind w:left="2776" w:hanging="360"/>
      </w:pPr>
    </w:lvl>
    <w:lvl w:ilvl="4">
      <w:start w:val="1"/>
      <w:numFmt w:val="lowerLetter"/>
      <w:lvlText w:val="%5."/>
      <w:lvlJc w:val="left"/>
      <w:pPr>
        <w:ind w:left="3496" w:hanging="360"/>
      </w:pPr>
    </w:lvl>
    <w:lvl w:ilvl="5">
      <w:start w:val="1"/>
      <w:numFmt w:val="lowerRoman"/>
      <w:lvlText w:val="%6."/>
      <w:lvlJc w:val="right"/>
      <w:pPr>
        <w:ind w:left="4216" w:hanging="180"/>
      </w:pPr>
    </w:lvl>
    <w:lvl w:ilvl="6">
      <w:start w:val="1"/>
      <w:numFmt w:val="decimal"/>
      <w:lvlText w:val="%7."/>
      <w:lvlJc w:val="left"/>
      <w:pPr>
        <w:ind w:left="4936" w:hanging="360"/>
      </w:pPr>
    </w:lvl>
    <w:lvl w:ilvl="7">
      <w:start w:val="1"/>
      <w:numFmt w:val="lowerLetter"/>
      <w:lvlText w:val="%8."/>
      <w:lvlJc w:val="left"/>
      <w:pPr>
        <w:ind w:left="5656" w:hanging="360"/>
      </w:pPr>
    </w:lvl>
    <w:lvl w:ilvl="8">
      <w:start w:val="1"/>
      <w:numFmt w:val="lowerRoman"/>
      <w:lvlText w:val="%9."/>
      <w:lvlJc w:val="right"/>
      <w:pPr>
        <w:ind w:left="6376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0746bc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ascii="PT Astra Serif" w:hAnsi="PT Astra Serif" w:eastAsia="Calibri"/>
      <w:bCs/>
      <w:sz w:val="24"/>
      <w:szCs w:val="24"/>
    </w:rPr>
  </w:style>
  <w:style w:type="character" w:styleId="Style15">
    <w:name w:val="Интернет-ссылка"/>
    <w:rPr>
      <w:color w:val="000080"/>
      <w:u w:val="single"/>
      <w:lang w:val="zxx" w:eastAsia="zxx" w:bidi="zxx"/>
    </w:rPr>
  </w:style>
  <w:style w:type="character" w:styleId="ListLabel2">
    <w:name w:val="ListLabel 2"/>
    <w:qFormat/>
    <w:rPr>
      <w:rFonts w:ascii="PT Astra Serif" w:hAnsi="PT Astra Serif" w:eastAsia="Calibri"/>
      <w:bCs/>
      <w:sz w:val="24"/>
      <w:szCs w:val="24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0746b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sPlusNormal" w:customStyle="1">
    <w:name w:val="ConsPlusNormal"/>
    <w:qFormat/>
    <w:rsid w:val="00ef5eac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0"/>
      <w:lang w:val="ru-RU" w:eastAsia="ru-RU" w:bidi="ar-SA"/>
    </w:rPr>
  </w:style>
  <w:style w:type="paragraph" w:styleId="ConsPlusTitle" w:customStyle="1">
    <w:name w:val="ConsPlusTitle"/>
    <w:qFormat/>
    <w:rsid w:val="00ef5eac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docs.cntd.ru/document/9004937" TargetMode="External"/><Relationship Id="rId4" Type="http://schemas.openxmlformats.org/officeDocument/2006/relationships/hyperlink" Target="https://docs.cntd.ru/document/901808297" TargetMode="Externa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E2F2D-7FA3-468E-A6D4-71887DB32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Application>LibreOffice/6.1.4.2$Windows_X86_64 LibreOffice_project/9d0f32d1f0b509096fd65e0d4bec26ddd1938fd3</Application>
  <Pages>10</Pages>
  <Words>1903</Words>
  <Characters>13059</Characters>
  <CharactersWithSpaces>15410</CharactersWithSpaces>
  <Paragraphs>211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2023-06-19T12:38:00Z</dcterms:created>
  <dc:creator>User</dc:creator>
  <dc:description/>
  <dc:language>ru-RU</dc:language>
  <cp:lastModifiedBy/>
  <cp:lastPrinted>2024-06-13T11:44:57Z</cp:lastPrinted>
  <dcterms:modified xsi:type="dcterms:W3CDTF">2024-06-13T11:47:47Z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