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theme/theme1.xml" ContentType="application/vnd.openxmlformats-officedocument.theme+xml"/>
  <Override PartName="/word/header1.xml" ContentType="application/vnd.openxmlformats-officedocument.wordprocessingml.header+xml"/>
  <Override PartName="/word/fontTable.xml" ContentType="application/vnd.openxmlformats-officedocument.wordprocessingml.fontTable+xml"/>
  <Override PartName="/word/settings.xml" ContentType="application/vnd.openxmlformats-officedocument.wordprocessingml.setting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tabs>
          <w:tab w:val="clear" w:pos="708"/>
          <w:tab w:val="left" w:pos="1134" w:leader="none"/>
        </w:tabs>
        <w:jc w:val="center"/>
        <w:rPr/>
      </w:pPr>
      <w:r>
        <w:rPr/>
        <w:drawing>
          <wp:inline distT="0" distB="0" distL="0" distR="0">
            <wp:extent cx="628650" cy="781050"/>
            <wp:effectExtent l="0" t="0" r="0" b="0"/>
            <wp:docPr id="1" name="Рисунок 1" descr="Ставропольский р-н (герб)штри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Ставропольский р-н (герб)штрих"/>
                    <pic:cNvPicPr>
                      <a:picLocks noChangeAspect="1" noChangeArrowheads="1"/>
                    </pic:cNvPicPr>
                  </pic:nvPicPr>
                  <pic:blipFill>
                    <a:blip r:embed="rId2"/>
                    <a:stretch>
                      <a:fillRect/>
                    </a:stretch>
                  </pic:blipFill>
                  <pic:spPr bwMode="auto">
                    <a:xfrm>
                      <a:off x="0" y="0"/>
                      <a:ext cx="628650" cy="781050"/>
                    </a:xfrm>
                    <a:prstGeom prst="rect">
                      <a:avLst/>
                    </a:prstGeom>
                  </pic:spPr>
                </pic:pic>
              </a:graphicData>
            </a:graphic>
          </wp:inline>
        </w:drawing>
      </w:r>
    </w:p>
    <w:p>
      <w:pPr>
        <w:pStyle w:val="Normal"/>
        <w:jc w:val="center"/>
        <w:rPr>
          <w:sz w:val="28"/>
          <w:szCs w:val="28"/>
        </w:rPr>
      </w:pPr>
      <w:r>
        <w:rPr>
          <w:sz w:val="28"/>
          <w:szCs w:val="28"/>
        </w:rPr>
      </w:r>
    </w:p>
    <w:p>
      <w:pPr>
        <w:pStyle w:val="Normal"/>
        <w:jc w:val="center"/>
        <w:rPr>
          <w:sz w:val="28"/>
          <w:szCs w:val="28"/>
        </w:rPr>
      </w:pPr>
      <w:r>
        <w:rPr>
          <w:sz w:val="28"/>
          <w:szCs w:val="28"/>
        </w:rPr>
        <w:t>АДМИНИСТРАЦИЯ СЕЛЬСКОГО ПОСЕЛЕНИЯ ВЕРХНЕЕ САНЧЕЛЕЕВО МУНИЦИПАЛЬНОГО РАЙОНА СТАВРОПОЛЬСКИЙ</w:t>
      </w:r>
    </w:p>
    <w:p>
      <w:pPr>
        <w:pStyle w:val="Normal"/>
        <w:jc w:val="center"/>
        <w:rPr>
          <w:sz w:val="28"/>
          <w:szCs w:val="28"/>
        </w:rPr>
      </w:pPr>
      <w:r>
        <w:rPr>
          <w:sz w:val="28"/>
          <w:szCs w:val="28"/>
        </w:rPr>
        <w:t>САМАРСКОЙ ОБЛАСТИ</w:t>
      </w:r>
    </w:p>
    <w:p>
      <w:pPr>
        <w:pStyle w:val="Normal"/>
        <w:jc w:val="center"/>
        <w:rPr>
          <w:sz w:val="28"/>
          <w:szCs w:val="28"/>
        </w:rPr>
      </w:pPr>
      <w:r>
        <w:rPr>
          <w:sz w:val="28"/>
          <w:szCs w:val="28"/>
        </w:rPr>
      </w:r>
    </w:p>
    <w:p>
      <w:pPr>
        <w:pStyle w:val="Normal"/>
        <w:jc w:val="center"/>
        <w:rPr/>
      </w:pPr>
      <w:r>
        <w:rPr>
          <w:sz w:val="32"/>
          <w:szCs w:val="32"/>
        </w:rPr>
        <w:t>ПОСТАНОВЛЕНИЕ</w:t>
      </w:r>
    </w:p>
    <w:p>
      <w:pPr>
        <w:pStyle w:val="Normal"/>
        <w:jc w:val="center"/>
        <w:rPr>
          <w:sz w:val="32"/>
          <w:szCs w:val="32"/>
        </w:rPr>
      </w:pPr>
      <w:r>
        <w:rPr/>
      </w:r>
    </w:p>
    <w:p>
      <w:pPr>
        <w:pStyle w:val="Normal"/>
        <w:jc w:val="left"/>
        <w:rPr>
          <w:sz w:val="20"/>
          <w:szCs w:val="20"/>
        </w:rPr>
      </w:pPr>
      <w:r>
        <w:rPr>
          <w:sz w:val="20"/>
          <w:szCs w:val="20"/>
        </w:rPr>
        <w:t xml:space="preserve">   </w:t>
      </w:r>
      <w:r>
        <w:rPr>
          <w:b/>
          <w:bCs/>
          <w:sz w:val="24"/>
          <w:szCs w:val="24"/>
        </w:rPr>
        <w:t xml:space="preserve"> </w:t>
      </w:r>
      <w:r>
        <w:rPr>
          <w:b/>
          <w:bCs/>
          <w:sz w:val="24"/>
          <w:szCs w:val="24"/>
        </w:rPr>
        <w:t>от 25 апреля 2024 года                                                                                               № 28</w:t>
      </w:r>
    </w:p>
    <w:p>
      <w:pPr>
        <w:pStyle w:val="Normal"/>
        <w:jc w:val="center"/>
        <w:rPr>
          <w:b/>
          <w:b/>
          <w:sz w:val="28"/>
          <w:szCs w:val="28"/>
        </w:rPr>
      </w:pPr>
      <w:r>
        <w:rPr>
          <w:b/>
          <w:sz w:val="28"/>
          <w:szCs w:val="28"/>
        </w:rPr>
      </w:r>
    </w:p>
    <w:p>
      <w:pPr>
        <w:pStyle w:val="Normal"/>
        <w:spacing w:lineRule="auto" w:line="276"/>
        <w:jc w:val="center"/>
        <w:rPr>
          <w:b/>
          <w:b/>
          <w:sz w:val="28"/>
          <w:szCs w:val="28"/>
        </w:rPr>
      </w:pPr>
      <w:r>
        <w:rPr>
          <w:b/>
          <w:sz w:val="28"/>
          <w:szCs w:val="28"/>
        </w:rPr>
        <w:t xml:space="preserve">Об установлении отдельного расходного обязательства                 сельского поселения Верхнее Санчелеево муниципального района Ставропольский Самарской области по осуществлению расходов на погребение погибшем при исполнении специальной военной операции </w:t>
      </w:r>
    </w:p>
    <w:p>
      <w:pPr>
        <w:pStyle w:val="Normal"/>
        <w:spacing w:lineRule="auto" w:line="276"/>
        <w:jc w:val="center"/>
        <w:rPr>
          <w:b/>
          <w:b/>
          <w:sz w:val="28"/>
          <w:szCs w:val="28"/>
        </w:rPr>
      </w:pPr>
      <w:r>
        <w:rPr>
          <w:b/>
          <w:sz w:val="28"/>
          <w:szCs w:val="28"/>
        </w:rPr>
      </w:r>
    </w:p>
    <w:p>
      <w:pPr>
        <w:pStyle w:val="Normal"/>
        <w:spacing w:lineRule="auto" w:line="276"/>
        <w:ind w:firstLine="708"/>
        <w:jc w:val="both"/>
        <w:rPr>
          <w:sz w:val="28"/>
          <w:szCs w:val="28"/>
          <w:lang w:bidi="ru-RU"/>
        </w:rPr>
      </w:pPr>
      <w:r>
        <w:rPr>
          <w:sz w:val="28"/>
          <w:szCs w:val="28"/>
          <w:lang w:bidi="ru-RU"/>
        </w:rPr>
        <w:t>В соответствии со статьей 86 Бюджетного кодекса Российской Федерации, с Указом Президента Российской Федерации от 21.09.2022                  № 647 «Об объявлении частичной мобилизации в Российской Федерации» и</w:t>
      </w:r>
    </w:p>
    <w:p>
      <w:pPr>
        <w:pStyle w:val="Normal"/>
        <w:spacing w:lineRule="auto" w:line="276"/>
        <w:jc w:val="both"/>
        <w:rPr>
          <w:sz w:val="28"/>
          <w:szCs w:val="28"/>
          <w:lang w:bidi="ru-RU"/>
        </w:rPr>
      </w:pPr>
      <w:r>
        <w:rPr>
          <w:rStyle w:val="FontStyle16"/>
          <w:rFonts w:cs="Times New Roman"/>
          <w:sz w:val="28"/>
          <w:szCs w:val="28"/>
        </w:rPr>
        <w:t xml:space="preserve"> </w:t>
      </w:r>
      <w:r>
        <w:rPr>
          <w:rStyle w:val="FontStyle16"/>
          <w:rFonts w:cs="Times New Roman"/>
          <w:sz w:val="28"/>
          <w:szCs w:val="28"/>
        </w:rPr>
        <w:t xml:space="preserve">руководствуясь </w:t>
      </w:r>
      <w:r>
        <w:rPr>
          <w:sz w:val="28"/>
          <w:szCs w:val="28"/>
          <w:lang w:bidi="ru-RU"/>
        </w:rPr>
        <w:t>Уставом сельского поселения Верхнее Санчелеево муниципального района Ставропольский Самарской области, принятого Решением Собрания представителей сельского поселения Верхнее Санчелеево муниципального района Ставропольский Самарской области,  администрация сельского поселения Верхнее Санчелеево муниципального  района  Ставропольский Самарской области постановляет:</w:t>
      </w:r>
    </w:p>
    <w:p>
      <w:pPr>
        <w:pStyle w:val="Normal"/>
        <w:tabs>
          <w:tab w:val="clear" w:pos="708"/>
          <w:tab w:val="left" w:pos="1134" w:leader="none"/>
        </w:tabs>
        <w:spacing w:lineRule="auto" w:line="276"/>
        <w:ind w:firstLine="708"/>
        <w:jc w:val="both"/>
        <w:rPr>
          <w:sz w:val="28"/>
          <w:szCs w:val="28"/>
          <w:lang w:bidi="ru-RU"/>
        </w:rPr>
      </w:pPr>
      <w:r>
        <w:rPr>
          <w:sz w:val="28"/>
          <w:szCs w:val="28"/>
          <w:lang w:bidi="ru-RU"/>
        </w:rPr>
        <w:t>1. Установить, что к отдельному расходному обязательству сельского поселения Верхнее Санчелеево муниципального района Ставропольский Самарской области в 2024</w:t>
      </w:r>
      <w:bookmarkStart w:id="0" w:name="_GoBack"/>
      <w:bookmarkEnd w:id="0"/>
      <w:r>
        <w:rPr>
          <w:sz w:val="28"/>
          <w:szCs w:val="28"/>
          <w:lang w:bidi="ru-RU"/>
        </w:rPr>
        <w:t xml:space="preserve"> году относится о</w:t>
      </w:r>
      <w:r>
        <w:rPr>
          <w:sz w:val="28"/>
          <w:szCs w:val="28"/>
        </w:rPr>
        <w:t>существление расходов на погребение погибшем при исполнении специальной военной операции</w:t>
      </w:r>
      <w:r>
        <w:rPr>
          <w:sz w:val="28"/>
          <w:szCs w:val="28"/>
          <w:lang w:bidi="ru-RU"/>
        </w:rPr>
        <w:t>.</w:t>
      </w:r>
    </w:p>
    <w:p>
      <w:pPr>
        <w:pStyle w:val="Normal"/>
        <w:spacing w:lineRule="auto" w:line="276"/>
        <w:ind w:firstLine="708"/>
        <w:jc w:val="both"/>
        <w:rPr>
          <w:sz w:val="28"/>
          <w:szCs w:val="28"/>
          <w:lang w:bidi="ru-RU"/>
        </w:rPr>
      </w:pPr>
      <w:r>
        <w:rPr>
          <w:sz w:val="28"/>
          <w:szCs w:val="28"/>
          <w:lang w:bidi="ru-RU"/>
        </w:rPr>
        <w:t>2. Установить, что отдельное расходное обязательство сельского поселения Верхнее Санчелеево муниципального района Ставропольский Самарской области, установленное пунктом 1 настоящего постановления, исполняется сельским поселением Верхнее Санчелеево муниципального района Ставропольский Самарской области самостоятельно за счет средств сельского поселения Верхнее Санчелеево муниципального района Ставропольский Самарской области, по главному распорядителю бюджетных средств – администрация сельского поселения Верхнее Санчелеево муниципального района Ставропольский Самарской области.</w:t>
      </w:r>
    </w:p>
    <w:p>
      <w:pPr>
        <w:pStyle w:val="Normal"/>
        <w:tabs>
          <w:tab w:val="clear" w:pos="708"/>
          <w:tab w:val="left" w:pos="1134" w:leader="none"/>
        </w:tabs>
        <w:spacing w:lineRule="auto" w:line="276"/>
        <w:ind w:firstLine="708"/>
        <w:jc w:val="both"/>
        <w:rPr>
          <w:sz w:val="28"/>
          <w:szCs w:val="28"/>
          <w:lang w:bidi="ru-RU"/>
        </w:rPr>
      </w:pPr>
      <w:r>
        <w:rPr>
          <w:sz w:val="28"/>
          <w:szCs w:val="28"/>
          <w:lang w:bidi="ru-RU"/>
        </w:rPr>
        <w:t xml:space="preserve">3. Администрации сельского поселения Верхнее Санчелеево муниципального района Ставропольский Самарской области осуществлять финансовое обеспечение отдельного расходного обязательства, установленного пунктом 1 настоящего постановления, в пределах средств, предусмотренных в бюджете сельского поселения Верхнее Санчелеево муниципального района Ставропольский Самарской области.                                                                                                                                                                                                                                                                                                                                                                                                                                                                                                                                                                                                                                                                                                                                                                                                                                                                                                                                                                                                                                                                                                                                                                                                                                                                                                                                                                                                                                                                                                                                                                                                                                                                                                                                                                                                                                                                                                                                                                                                                                                                                                                                                                                                                                                                                                                                                                                                                                                                                                                                                                                                                                                                                                                                                                                                                 </w:t>
      </w:r>
    </w:p>
    <w:p>
      <w:pPr>
        <w:pStyle w:val="Normal"/>
        <w:tabs>
          <w:tab w:val="clear" w:pos="708"/>
          <w:tab w:val="left" w:pos="1134" w:leader="none"/>
        </w:tabs>
        <w:spacing w:lineRule="auto" w:line="276"/>
        <w:ind w:firstLine="708"/>
        <w:jc w:val="both"/>
        <w:rPr>
          <w:sz w:val="28"/>
          <w:szCs w:val="28"/>
          <w:lang w:bidi="ru-RU"/>
        </w:rPr>
      </w:pPr>
      <w:r>
        <w:rPr>
          <w:sz w:val="28"/>
          <w:szCs w:val="28"/>
          <w:lang w:bidi="ru-RU"/>
        </w:rPr>
        <w:t>4.  Контроль за исполнением настоящего постановления возложить на Главу сельского поселения Верхнее Санчелеево муниципального района Ставропольский Самарской области</w:t>
      </w:r>
    </w:p>
    <w:p>
      <w:pPr>
        <w:pStyle w:val="Normal"/>
        <w:tabs>
          <w:tab w:val="clear" w:pos="708"/>
          <w:tab w:val="left" w:pos="1134" w:leader="none"/>
        </w:tabs>
        <w:spacing w:lineRule="auto" w:line="276"/>
        <w:ind w:firstLine="708"/>
        <w:jc w:val="both"/>
        <w:rPr>
          <w:sz w:val="28"/>
          <w:szCs w:val="28"/>
          <w:lang w:bidi="ru-RU"/>
        </w:rPr>
      </w:pPr>
      <w:r>
        <w:rPr>
          <w:sz w:val="28"/>
          <w:szCs w:val="28"/>
          <w:lang w:bidi="ru-RU"/>
        </w:rPr>
        <w:t>5. Опубликовать настоящее постановление в газете «Верхнесанчелеевский Вестник» и на официальном сайте администрации сельского поселения Верхнее Санчелеево в сети интернет v.sancheleevo.stavrsp.ru.</w:t>
      </w:r>
    </w:p>
    <w:p>
      <w:pPr>
        <w:pStyle w:val="Normal"/>
        <w:tabs>
          <w:tab w:val="clear" w:pos="708"/>
          <w:tab w:val="left" w:pos="1134" w:leader="none"/>
        </w:tabs>
        <w:spacing w:lineRule="auto" w:line="276"/>
        <w:ind w:firstLine="708"/>
        <w:jc w:val="both"/>
        <w:rPr>
          <w:sz w:val="28"/>
          <w:szCs w:val="28"/>
          <w:lang w:bidi="ru-RU"/>
        </w:rPr>
      </w:pPr>
      <w:r>
        <w:rPr>
          <w:sz w:val="28"/>
          <w:szCs w:val="28"/>
          <w:lang w:bidi="ru-RU"/>
        </w:rPr>
        <w:t xml:space="preserve">6. Настоящее постановление вступает в силу после официального опубликования. </w:t>
      </w:r>
    </w:p>
    <w:p>
      <w:pPr>
        <w:pStyle w:val="Normal"/>
        <w:tabs>
          <w:tab w:val="clear" w:pos="708"/>
          <w:tab w:val="left" w:pos="1134" w:leader="none"/>
        </w:tabs>
        <w:spacing w:lineRule="auto" w:line="276"/>
        <w:ind w:firstLine="708"/>
        <w:jc w:val="both"/>
        <w:rPr/>
      </w:pPr>
      <w:r>
        <w:rPr/>
      </w:r>
    </w:p>
    <w:p>
      <w:pPr>
        <w:pStyle w:val="Normal"/>
        <w:spacing w:lineRule="auto" w:line="276"/>
        <w:ind w:right="-2" w:hanging="0"/>
        <w:rPr/>
      </w:pPr>
      <w:r>
        <w:rPr/>
      </w:r>
    </w:p>
    <w:p>
      <w:pPr>
        <w:pStyle w:val="Normal"/>
        <w:tabs>
          <w:tab w:val="clear" w:pos="708"/>
          <w:tab w:val="left" w:pos="1134" w:leader="none"/>
        </w:tabs>
        <w:spacing w:lineRule="auto" w:line="276"/>
        <w:rPr>
          <w:sz w:val="28"/>
          <w:szCs w:val="28"/>
        </w:rPr>
      </w:pPr>
      <w:r>
        <w:rPr>
          <w:sz w:val="28"/>
          <w:szCs w:val="28"/>
        </w:rPr>
      </w:r>
    </w:p>
    <w:p>
      <w:pPr>
        <w:pStyle w:val="Normal"/>
        <w:tabs>
          <w:tab w:val="clear" w:pos="708"/>
          <w:tab w:val="left" w:pos="1134" w:leader="none"/>
          <w:tab w:val="left" w:pos="1418" w:leader="none"/>
        </w:tabs>
        <w:spacing w:lineRule="auto" w:line="276"/>
        <w:rPr>
          <w:sz w:val="28"/>
          <w:szCs w:val="28"/>
        </w:rPr>
      </w:pPr>
      <w:r>
        <w:rPr>
          <w:sz w:val="28"/>
          <w:szCs w:val="28"/>
        </w:rPr>
        <w:t xml:space="preserve">Глава сельского поселения Верхнее Санчелеево </w:t>
      </w:r>
    </w:p>
    <w:p>
      <w:pPr>
        <w:pStyle w:val="Normal"/>
        <w:tabs>
          <w:tab w:val="clear" w:pos="708"/>
          <w:tab w:val="left" w:pos="1134" w:leader="none"/>
          <w:tab w:val="left" w:pos="1418" w:leader="none"/>
        </w:tabs>
        <w:spacing w:lineRule="auto" w:line="276"/>
        <w:rPr>
          <w:sz w:val="28"/>
          <w:szCs w:val="28"/>
        </w:rPr>
      </w:pPr>
      <w:r>
        <w:rPr>
          <w:sz w:val="28"/>
          <w:szCs w:val="28"/>
        </w:rPr>
        <w:t xml:space="preserve">муниципального района Ставропольский </w:t>
      </w:r>
    </w:p>
    <w:p>
      <w:pPr>
        <w:pStyle w:val="Normal"/>
        <w:tabs>
          <w:tab w:val="clear" w:pos="708"/>
          <w:tab w:val="left" w:pos="1134" w:leader="none"/>
          <w:tab w:val="left" w:pos="1418" w:leader="none"/>
        </w:tabs>
        <w:spacing w:lineRule="auto" w:line="276"/>
        <w:rPr>
          <w:sz w:val="28"/>
          <w:szCs w:val="28"/>
        </w:rPr>
      </w:pPr>
      <w:r>
        <w:rPr>
          <w:sz w:val="28"/>
          <w:szCs w:val="28"/>
        </w:rPr>
        <w:t>Самарской области                                                                             П.В.Чапарин</w:t>
      </w:r>
    </w:p>
    <w:p>
      <w:pPr>
        <w:pStyle w:val="Normal"/>
        <w:ind w:firstLine="709"/>
        <w:jc w:val="both"/>
        <w:rPr>
          <w:sz w:val="28"/>
          <w:szCs w:val="28"/>
        </w:rPr>
      </w:pPr>
      <w:r>
        <w:rPr>
          <w:sz w:val="28"/>
          <w:szCs w:val="28"/>
        </w:rPr>
      </w:r>
    </w:p>
    <w:p>
      <w:pPr>
        <w:pStyle w:val="Normal"/>
        <w:jc w:val="both"/>
        <w:rPr>
          <w:sz w:val="28"/>
          <w:szCs w:val="28"/>
        </w:rPr>
      </w:pPr>
      <w:r>
        <w:rPr>
          <w:sz w:val="28"/>
          <w:szCs w:val="28"/>
        </w:rPr>
      </w:r>
    </w:p>
    <w:p>
      <w:pPr>
        <w:pStyle w:val="Normal"/>
        <w:jc w:val="both"/>
        <w:rPr>
          <w:sz w:val="28"/>
          <w:szCs w:val="28"/>
        </w:rPr>
      </w:pPr>
      <w:r>
        <w:rPr>
          <w:sz w:val="28"/>
          <w:szCs w:val="28"/>
        </w:rPr>
      </w:r>
    </w:p>
    <w:p>
      <w:pPr>
        <w:pStyle w:val="Normal"/>
        <w:jc w:val="both"/>
        <w:rPr>
          <w:sz w:val="28"/>
          <w:szCs w:val="28"/>
        </w:rPr>
      </w:pPr>
      <w:r>
        <w:rPr>
          <w:sz w:val="28"/>
          <w:szCs w:val="28"/>
        </w:rPr>
      </w:r>
    </w:p>
    <w:p>
      <w:pPr>
        <w:pStyle w:val="Normal"/>
        <w:jc w:val="both"/>
        <w:rPr>
          <w:sz w:val="28"/>
          <w:szCs w:val="28"/>
        </w:rPr>
      </w:pPr>
      <w:r>
        <w:rPr>
          <w:sz w:val="28"/>
          <w:szCs w:val="28"/>
        </w:rPr>
      </w:r>
    </w:p>
    <w:p>
      <w:pPr>
        <w:pStyle w:val="Normal"/>
        <w:jc w:val="both"/>
        <w:rPr>
          <w:sz w:val="28"/>
          <w:szCs w:val="28"/>
        </w:rPr>
      </w:pPr>
      <w:r>
        <w:rPr>
          <w:sz w:val="28"/>
          <w:szCs w:val="28"/>
        </w:rPr>
      </w:r>
    </w:p>
    <w:p>
      <w:pPr>
        <w:pStyle w:val="Normal"/>
        <w:jc w:val="both"/>
        <w:rPr>
          <w:sz w:val="28"/>
          <w:szCs w:val="28"/>
        </w:rPr>
      </w:pPr>
      <w:r>
        <w:rPr>
          <w:sz w:val="28"/>
          <w:szCs w:val="28"/>
        </w:rPr>
      </w:r>
    </w:p>
    <w:p>
      <w:pPr>
        <w:pStyle w:val="Normal"/>
        <w:jc w:val="both"/>
        <w:rPr>
          <w:sz w:val="28"/>
          <w:szCs w:val="28"/>
        </w:rPr>
      </w:pPr>
      <w:r>
        <w:rPr>
          <w:sz w:val="28"/>
          <w:szCs w:val="28"/>
        </w:rPr>
      </w:r>
    </w:p>
    <w:p>
      <w:pPr>
        <w:pStyle w:val="Normal"/>
        <w:jc w:val="both"/>
        <w:rPr>
          <w:sz w:val="28"/>
          <w:szCs w:val="28"/>
        </w:rPr>
      </w:pPr>
      <w:r>
        <w:rPr>
          <w:sz w:val="28"/>
          <w:szCs w:val="28"/>
        </w:rPr>
      </w:r>
    </w:p>
    <w:p>
      <w:pPr>
        <w:pStyle w:val="Normal"/>
        <w:jc w:val="both"/>
        <w:rPr>
          <w:sz w:val="28"/>
          <w:szCs w:val="28"/>
        </w:rPr>
      </w:pPr>
      <w:r>
        <w:rPr>
          <w:sz w:val="28"/>
          <w:szCs w:val="28"/>
        </w:rPr>
      </w:r>
    </w:p>
    <w:p>
      <w:pPr>
        <w:pStyle w:val="Normal"/>
        <w:jc w:val="both"/>
        <w:rPr>
          <w:sz w:val="28"/>
          <w:szCs w:val="28"/>
        </w:rPr>
      </w:pPr>
      <w:r>
        <w:rPr>
          <w:sz w:val="28"/>
          <w:szCs w:val="28"/>
        </w:rPr>
      </w:r>
    </w:p>
    <w:p>
      <w:pPr>
        <w:pStyle w:val="Normal"/>
        <w:jc w:val="both"/>
        <w:rPr>
          <w:sz w:val="28"/>
          <w:szCs w:val="28"/>
        </w:rPr>
      </w:pPr>
      <w:r>
        <w:rPr>
          <w:sz w:val="28"/>
          <w:szCs w:val="28"/>
        </w:rPr>
      </w:r>
    </w:p>
    <w:p>
      <w:pPr>
        <w:pStyle w:val="Normal"/>
        <w:jc w:val="both"/>
        <w:rPr>
          <w:sz w:val="28"/>
          <w:szCs w:val="28"/>
        </w:rPr>
      </w:pPr>
      <w:r>
        <w:rPr>
          <w:sz w:val="28"/>
          <w:szCs w:val="28"/>
        </w:rPr>
      </w:r>
    </w:p>
    <w:p>
      <w:pPr>
        <w:pStyle w:val="Normal"/>
        <w:jc w:val="both"/>
        <w:rPr>
          <w:sz w:val="28"/>
          <w:szCs w:val="28"/>
        </w:rPr>
      </w:pPr>
      <w:r>
        <w:rPr>
          <w:sz w:val="28"/>
          <w:szCs w:val="28"/>
        </w:rPr>
      </w:r>
    </w:p>
    <w:p>
      <w:pPr>
        <w:pStyle w:val="Normal"/>
        <w:jc w:val="both"/>
        <w:rPr>
          <w:sz w:val="28"/>
          <w:szCs w:val="28"/>
        </w:rPr>
      </w:pPr>
      <w:r>
        <w:rPr>
          <w:sz w:val="28"/>
          <w:szCs w:val="28"/>
        </w:rPr>
      </w:r>
    </w:p>
    <w:p>
      <w:pPr>
        <w:pStyle w:val="Normal"/>
        <w:jc w:val="both"/>
        <w:rPr>
          <w:sz w:val="28"/>
          <w:szCs w:val="28"/>
        </w:rPr>
      </w:pPr>
      <w:r>
        <w:rPr>
          <w:sz w:val="28"/>
          <w:szCs w:val="28"/>
        </w:rPr>
      </w:r>
    </w:p>
    <w:p>
      <w:pPr>
        <w:pStyle w:val="Normal"/>
        <w:jc w:val="both"/>
        <w:rPr>
          <w:sz w:val="20"/>
          <w:szCs w:val="20"/>
        </w:rPr>
      </w:pPr>
      <w:r>
        <w:rPr/>
      </w:r>
    </w:p>
    <w:p>
      <w:pPr>
        <w:pStyle w:val="Normal"/>
        <w:jc w:val="both"/>
        <w:rPr>
          <w:sz w:val="20"/>
          <w:szCs w:val="20"/>
        </w:rPr>
      </w:pPr>
      <w:r>
        <w:rPr/>
      </w:r>
    </w:p>
    <w:p>
      <w:pPr>
        <w:pStyle w:val="Normal"/>
        <w:jc w:val="both"/>
        <w:rPr>
          <w:sz w:val="20"/>
          <w:szCs w:val="20"/>
        </w:rPr>
      </w:pPr>
      <w:r>
        <w:rPr/>
      </w:r>
    </w:p>
    <w:p>
      <w:pPr>
        <w:pStyle w:val="Normal"/>
        <w:jc w:val="both"/>
        <w:rPr>
          <w:sz w:val="20"/>
          <w:szCs w:val="20"/>
        </w:rPr>
      </w:pPr>
      <w:r>
        <w:rPr/>
      </w:r>
    </w:p>
    <w:p>
      <w:pPr>
        <w:pStyle w:val="Normal"/>
        <w:jc w:val="both"/>
        <w:rPr>
          <w:sz w:val="20"/>
          <w:szCs w:val="20"/>
        </w:rPr>
      </w:pPr>
      <w:r>
        <w:rPr/>
      </w:r>
    </w:p>
    <w:p>
      <w:pPr>
        <w:pStyle w:val="Normal"/>
        <w:jc w:val="both"/>
        <w:rPr>
          <w:sz w:val="20"/>
          <w:szCs w:val="20"/>
        </w:rPr>
      </w:pPr>
      <w:r>
        <w:rPr/>
      </w:r>
    </w:p>
    <w:p>
      <w:pPr>
        <w:pStyle w:val="Normal"/>
        <w:jc w:val="both"/>
        <w:rPr>
          <w:sz w:val="20"/>
          <w:szCs w:val="20"/>
        </w:rPr>
      </w:pPr>
      <w:r>
        <w:rPr/>
      </w:r>
    </w:p>
    <w:p>
      <w:pPr>
        <w:pStyle w:val="Normal"/>
        <w:jc w:val="both"/>
        <w:rPr>
          <w:sz w:val="20"/>
          <w:szCs w:val="20"/>
        </w:rPr>
      </w:pPr>
      <w:r>
        <w:rPr/>
      </w:r>
    </w:p>
    <w:p>
      <w:pPr>
        <w:pStyle w:val="Normal"/>
        <w:jc w:val="both"/>
        <w:rPr/>
      </w:pPr>
      <w:r>
        <w:rPr>
          <w:sz w:val="20"/>
          <w:szCs w:val="20"/>
        </w:rPr>
        <w:t>Дивлекеева 23-35-42</w:t>
      </w:r>
    </w:p>
    <w:sectPr>
      <w:headerReference w:type="default" r:id="rId3"/>
      <w:type w:val="nextPage"/>
      <w:pgSz w:w="11906" w:h="16838"/>
      <w:pgMar w:left="1701" w:right="851" w:header="709" w:top="766" w:footer="0" w:bottom="1134" w:gutter="0"/>
      <w:pgNumType w:fmt="decimal"/>
      <w:formProt w:val="false"/>
      <w:titlePg/>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Times New Roman">
    <w:charset w:val="cc"/>
    <w:family w:val="roman"/>
    <w:pitch w:val="variable"/>
  </w:font>
  <w:font w:name="Tahoma">
    <w:charset w:val="cc"/>
    <w:family w:val="roman"/>
    <w:pitch w:val="variable"/>
  </w:font>
  <w:font w:name="Courier New">
    <w:charset w:val="cc"/>
    <w:family w:val="roman"/>
    <w:pitch w:val="variable"/>
  </w:font>
  <w:font w:name="Liberation Sans">
    <w:altName w:val="Arial"/>
    <w:charset w:val="cc"/>
    <w:family w:val="swiss"/>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21"/>
      <w:jc w:val="center"/>
      <w:rPr/>
    </w:pPr>
    <w:r>
      <w:rPr/>
      <w:t>2</w:t>
    </w:r>
  </w:p>
  <w:p>
    <w:pPr>
      <w:pStyle w:val="Style21"/>
      <w:rPr/>
    </w:pPr>
    <w:r>
      <w:rPr/>
    </w:r>
  </w:p>
</w:hdr>
</file>

<file path=word/settings.xml><?xml version="1.0" encoding="utf-8"?>
<w:settings xmlns:w="http://schemas.openxmlformats.org/wordprocessingml/2006/main">
  <w:zoom w:percent="120"/>
  <w:defaultTabStop w:val="708"/>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ru-RU" w:eastAsia="en-US"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3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e445cf"/>
    <w:pPr>
      <w:widowControl/>
      <w:bidi w:val="0"/>
      <w:spacing w:lineRule="auto" w:line="240" w:before="0" w:after="0"/>
      <w:jc w:val="left"/>
    </w:pPr>
    <w:rPr>
      <w:rFonts w:ascii="Times New Roman" w:hAnsi="Times New Roman" w:eastAsia="Times New Roman" w:cs="Times New Roman"/>
      <w:color w:val="auto"/>
      <w:kern w:val="0"/>
      <w:sz w:val="24"/>
      <w:szCs w:val="24"/>
      <w:lang w:eastAsia="ru-RU" w:val="ru-RU" w:bidi="ar-SA"/>
    </w:rPr>
  </w:style>
  <w:style w:type="paragraph" w:styleId="2">
    <w:name w:val="Heading 2"/>
    <w:basedOn w:val="Normal"/>
    <w:next w:val="Normal"/>
    <w:link w:val="20"/>
    <w:qFormat/>
    <w:rsid w:val="00ff7315"/>
    <w:pPr>
      <w:keepNext w:val="true"/>
      <w:ind w:firstLine="709"/>
      <w:jc w:val="center"/>
      <w:outlineLvl w:val="1"/>
    </w:pPr>
    <w:rPr>
      <w:sz w:val="28"/>
      <w:szCs w:val="28"/>
    </w:rPr>
  </w:style>
  <w:style w:type="character" w:styleId="DefaultParagraphFont" w:default="1">
    <w:name w:val="Default Paragraph Font"/>
    <w:uiPriority w:val="1"/>
    <w:semiHidden/>
    <w:unhideWhenUsed/>
    <w:qFormat/>
    <w:rPr/>
  </w:style>
  <w:style w:type="character" w:styleId="Style13" w:customStyle="1">
    <w:name w:val="Текст выноски Знак"/>
    <w:basedOn w:val="DefaultParagraphFont"/>
    <w:link w:val="a3"/>
    <w:uiPriority w:val="99"/>
    <w:semiHidden/>
    <w:qFormat/>
    <w:rsid w:val="00ff7315"/>
    <w:rPr>
      <w:rFonts w:ascii="Tahoma" w:hAnsi="Tahoma" w:eastAsia="Times New Roman" w:cs="Tahoma"/>
      <w:sz w:val="16"/>
      <w:szCs w:val="16"/>
      <w:lang w:eastAsia="ru-RU"/>
    </w:rPr>
  </w:style>
  <w:style w:type="character" w:styleId="21" w:customStyle="1">
    <w:name w:val="Заголовок 2 Знак"/>
    <w:basedOn w:val="DefaultParagraphFont"/>
    <w:link w:val="2"/>
    <w:qFormat/>
    <w:rsid w:val="00ff7315"/>
    <w:rPr>
      <w:rFonts w:ascii="Times New Roman" w:hAnsi="Times New Roman" w:eastAsia="Times New Roman" w:cs="Times New Roman"/>
      <w:sz w:val="28"/>
      <w:szCs w:val="28"/>
      <w:lang w:eastAsia="ru-RU"/>
    </w:rPr>
  </w:style>
  <w:style w:type="character" w:styleId="Style14" w:customStyle="1">
    <w:name w:val="Верхний колонтитул Знак"/>
    <w:basedOn w:val="DefaultParagraphFont"/>
    <w:link w:val="a5"/>
    <w:uiPriority w:val="99"/>
    <w:qFormat/>
    <w:rsid w:val="00ee6542"/>
    <w:rPr>
      <w:rFonts w:ascii="Times New Roman" w:hAnsi="Times New Roman" w:eastAsia="Times New Roman" w:cs="Times New Roman"/>
      <w:sz w:val="24"/>
      <w:szCs w:val="24"/>
      <w:lang w:eastAsia="ru-RU"/>
    </w:rPr>
  </w:style>
  <w:style w:type="character" w:styleId="Style15" w:customStyle="1">
    <w:name w:val="Нижний колонтитул Знак"/>
    <w:basedOn w:val="DefaultParagraphFont"/>
    <w:link w:val="a7"/>
    <w:uiPriority w:val="99"/>
    <w:qFormat/>
    <w:rsid w:val="00ee6542"/>
    <w:rPr>
      <w:rFonts w:ascii="Times New Roman" w:hAnsi="Times New Roman" w:eastAsia="Times New Roman" w:cs="Times New Roman"/>
      <w:sz w:val="24"/>
      <w:szCs w:val="24"/>
      <w:lang w:eastAsia="ru-RU"/>
    </w:rPr>
  </w:style>
  <w:style w:type="character" w:styleId="FontStyle16" w:customStyle="1">
    <w:name w:val="Font Style16"/>
    <w:uiPriority w:val="99"/>
    <w:qFormat/>
    <w:rsid w:val="00c026bf"/>
    <w:rPr>
      <w:rFonts w:ascii="Courier New" w:hAnsi="Courier New" w:cs="Courier New"/>
      <w:sz w:val="22"/>
      <w:szCs w:val="22"/>
    </w:rPr>
  </w:style>
  <w:style w:type="paragraph" w:styleId="Style16">
    <w:name w:val="Заголовок"/>
    <w:basedOn w:val="Normal"/>
    <w:next w:val="Style17"/>
    <w:qFormat/>
    <w:pPr>
      <w:keepNext w:val="true"/>
      <w:spacing w:before="240" w:after="120"/>
    </w:pPr>
    <w:rPr>
      <w:rFonts w:ascii="Liberation Sans" w:hAnsi="Liberation Sans" w:eastAsia="Microsoft YaHei" w:cs="Mangal"/>
      <w:sz w:val="28"/>
      <w:szCs w:val="28"/>
    </w:rPr>
  </w:style>
  <w:style w:type="paragraph" w:styleId="Style17">
    <w:name w:val="Body Text"/>
    <w:basedOn w:val="Normal"/>
    <w:pPr>
      <w:spacing w:lineRule="auto" w:line="276" w:before="0" w:after="140"/>
    </w:pPr>
    <w:rPr/>
  </w:style>
  <w:style w:type="paragraph" w:styleId="Style18">
    <w:name w:val="List"/>
    <w:basedOn w:val="Style17"/>
    <w:pPr/>
    <w:rPr>
      <w:rFonts w:cs="Mangal"/>
    </w:rPr>
  </w:style>
  <w:style w:type="paragraph" w:styleId="Style19">
    <w:name w:val="Caption"/>
    <w:basedOn w:val="Normal"/>
    <w:qFormat/>
    <w:pPr>
      <w:suppressLineNumbers/>
      <w:spacing w:before="120" w:after="120"/>
    </w:pPr>
    <w:rPr>
      <w:rFonts w:cs="Mangal"/>
      <w:i/>
      <w:iCs/>
      <w:sz w:val="24"/>
      <w:szCs w:val="24"/>
    </w:rPr>
  </w:style>
  <w:style w:type="paragraph" w:styleId="Style20">
    <w:name w:val="Указатель"/>
    <w:basedOn w:val="Normal"/>
    <w:qFormat/>
    <w:pPr>
      <w:suppressLineNumbers/>
    </w:pPr>
    <w:rPr>
      <w:rFonts w:cs="Mangal"/>
    </w:rPr>
  </w:style>
  <w:style w:type="paragraph" w:styleId="BalloonText">
    <w:name w:val="Balloon Text"/>
    <w:basedOn w:val="Normal"/>
    <w:link w:val="a4"/>
    <w:uiPriority w:val="99"/>
    <w:semiHidden/>
    <w:unhideWhenUsed/>
    <w:qFormat/>
    <w:rsid w:val="00ff7315"/>
    <w:pPr/>
    <w:rPr>
      <w:rFonts w:ascii="Tahoma" w:hAnsi="Tahoma" w:cs="Tahoma"/>
      <w:sz w:val="16"/>
      <w:szCs w:val="16"/>
    </w:rPr>
  </w:style>
  <w:style w:type="paragraph" w:styleId="Style21">
    <w:name w:val="Header"/>
    <w:basedOn w:val="Normal"/>
    <w:link w:val="a6"/>
    <w:uiPriority w:val="99"/>
    <w:unhideWhenUsed/>
    <w:rsid w:val="00ee6542"/>
    <w:pPr>
      <w:tabs>
        <w:tab w:val="clear" w:pos="708"/>
        <w:tab w:val="center" w:pos="4677" w:leader="none"/>
        <w:tab w:val="right" w:pos="9355" w:leader="none"/>
      </w:tabs>
    </w:pPr>
    <w:rPr/>
  </w:style>
  <w:style w:type="paragraph" w:styleId="Style22">
    <w:name w:val="Footer"/>
    <w:basedOn w:val="Normal"/>
    <w:link w:val="a8"/>
    <w:uiPriority w:val="99"/>
    <w:unhideWhenUsed/>
    <w:rsid w:val="00ee6542"/>
    <w:pPr>
      <w:tabs>
        <w:tab w:val="clear" w:pos="708"/>
        <w:tab w:val="center" w:pos="4677" w:leader="none"/>
        <w:tab w:val="right" w:pos="9355" w:leader="none"/>
      </w:tabs>
    </w:pPr>
    <w:rPr/>
  </w:style>
  <w:style w:type="numbering" w:styleId="NoList" w:default="1">
    <w:name w:val="No List"/>
    <w:uiPriority w:val="99"/>
    <w:semiHidden/>
    <w:unhideWhenUsed/>
    <w:qFormat/>
  </w:style>
  <w:style w:type="table" w:default="1" w:styleId="a1">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eader" Target="header1.xm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Relationship Id="rId7" Type="http://schemas.openxmlformats.org/officeDocument/2006/relationships/customXml" Target="../customXml/item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E035AB-3416-4A09-B670-CD8B3FB213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Application>LibreOffice/6.1.4.2$Windows_X86_64 LibreOffice_project/9d0f32d1f0b509096fd65e0d4bec26ddd1938fd3</Application>
  <Pages>2</Pages>
  <Words>291</Words>
  <Characters>2467</Characters>
  <CharactersWithSpaces>5662</CharactersWithSpaces>
  <Paragraphs>19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2024-04-23T08:37:00Z</dcterms:created>
  <dc:creator>User</dc:creator>
  <dc:description/>
  <dc:language>ru-RU</dc:language>
  <cp:lastModifiedBy/>
  <cp:lastPrinted>2024-04-26T11:34:33Z</cp:lastPrinted>
  <dcterms:modified xsi:type="dcterms:W3CDTF">2024-04-26T11:35:57Z</dcterms:modified>
  <cp:revision>4</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