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ind w:left="5400" w:hanging="5684"/>
        <w:jc w:val="center"/>
        <w:outlineLvl w:val="0"/>
        <w:rPr>
          <w:b/>
          <w:b/>
          <w:szCs w:val="20"/>
        </w:rPr>
      </w:pPr>
      <w:r>
        <w:rPr/>
        <w:drawing>
          <wp:inline distT="0" distB="0" distL="0" distR="9525">
            <wp:extent cx="1019175" cy="9715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76" w:before="0" w:after="200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spacing w:lineRule="auto" w:line="276"/>
        <w:jc w:val="center"/>
        <w:rPr>
          <w:rFonts w:eastAsia="Calibri"/>
          <w:b/>
          <w:b/>
          <w:bCs/>
          <w:sz w:val="22"/>
          <w:szCs w:val="22"/>
          <w:lang w:eastAsia="en-US"/>
        </w:rPr>
      </w:pPr>
      <w:r>
        <w:rPr>
          <w:rFonts w:eastAsia="Calibri"/>
          <w:b/>
          <w:bCs/>
          <w:sz w:val="22"/>
          <w:szCs w:val="22"/>
        </w:rPr>
        <w:t>АДМИНИСТРАЦИЯ</w:t>
      </w:r>
    </w:p>
    <w:p>
      <w:pPr>
        <w:pStyle w:val="Normal"/>
        <w:spacing w:lineRule="auto" w:line="276"/>
        <w:jc w:val="center"/>
        <w:rPr/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>
        <w:rPr>
          <w:rFonts w:eastAsia="Calibri"/>
          <w:b/>
          <w:sz w:val="22"/>
          <w:szCs w:val="22"/>
          <w:lang w:eastAsia="en-US"/>
        </w:rPr>
        <w:t xml:space="preserve"> ВЕРХНЕЕ САНЧЕЛЕЕВО</w:t>
      </w:r>
    </w:p>
    <w:p>
      <w:pPr>
        <w:pStyle w:val="Normal"/>
        <w:spacing w:lineRule="auto" w:line="276"/>
        <w:jc w:val="center"/>
        <w:rPr>
          <w:rFonts w:eastAsia="Calibri"/>
          <w:b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>
      <w:pPr>
        <w:pStyle w:val="Normal"/>
        <w:spacing w:lineRule="auto" w:line="276"/>
        <w:jc w:val="center"/>
        <w:rPr>
          <w:rFonts w:eastAsia="Calibri"/>
          <w:b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>
      <w:pPr>
        <w:pStyle w:val="Normal"/>
        <w:spacing w:lineRule="auto" w:line="276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</w:r>
    </w:p>
    <w:p>
      <w:pPr>
        <w:pStyle w:val="Normal"/>
        <w:spacing w:lineRule="auto" w:line="360"/>
        <w:jc w:val="center"/>
        <w:rPr>
          <w:b/>
          <w:b/>
        </w:rPr>
      </w:pPr>
      <w:r>
        <w:rPr>
          <w:b/>
        </w:rPr>
        <w:t xml:space="preserve">ПОСТАНОВЛЕНИЕ </w:t>
      </w:r>
    </w:p>
    <w:p>
      <w:pPr>
        <w:pStyle w:val="Normal"/>
        <w:jc w:val="center"/>
        <w:rPr>
          <w:b/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</w:r>
    </w:p>
    <w:p>
      <w:pPr>
        <w:pStyle w:val="Normal"/>
        <w:rPr>
          <w:b/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    </w:t>
      </w:r>
      <w:r>
        <w:rPr>
          <w:b/>
          <w:color w:val="000000" w:themeColor="text1"/>
          <w:sz w:val="28"/>
          <w:szCs w:val="28"/>
        </w:rPr>
        <w:t xml:space="preserve">От  </w:t>
      </w:r>
      <w:r>
        <w:rPr>
          <w:b/>
          <w:color w:val="000000" w:themeColor="text1"/>
          <w:sz w:val="28"/>
          <w:szCs w:val="28"/>
        </w:rPr>
        <w:t>31</w:t>
      </w:r>
      <w:r>
        <w:rPr>
          <w:b/>
          <w:color w:val="000000" w:themeColor="text1"/>
          <w:sz w:val="28"/>
          <w:szCs w:val="28"/>
        </w:rPr>
        <w:t xml:space="preserve"> </w:t>
      </w:r>
      <w:r>
        <w:rPr>
          <w:b/>
          <w:color w:val="000000" w:themeColor="text1"/>
          <w:sz w:val="28"/>
          <w:szCs w:val="28"/>
        </w:rPr>
        <w:t>мая</w:t>
      </w:r>
      <w:r>
        <w:rPr>
          <w:b/>
          <w:color w:val="000000" w:themeColor="text1"/>
          <w:sz w:val="28"/>
          <w:szCs w:val="28"/>
        </w:rPr>
        <w:t xml:space="preserve"> 2023 г.</w:t>
        <w:tab/>
        <w:tab/>
        <w:t xml:space="preserve">                   </w:t>
        <w:tab/>
        <w:tab/>
        <w:tab/>
        <w:tab/>
        <w:t xml:space="preserve">      № 3</w:t>
      </w:r>
      <w:r>
        <w:rPr>
          <w:b/>
          <w:color w:val="000000" w:themeColor="text1"/>
          <w:sz w:val="28"/>
          <w:szCs w:val="28"/>
        </w:rPr>
        <w:t>1</w:t>
      </w:r>
    </w:p>
    <w:p>
      <w:pPr>
        <w:pStyle w:val="Normal"/>
        <w:shd w:val="clear" w:color="auto" w:fill="FFFFFF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rPr>
          <w:sz w:val="26"/>
          <w:szCs w:val="26"/>
        </w:rPr>
      </w:pPr>
      <w:r>
        <w:rPr>
          <w:b/>
          <w:bCs/>
          <w:sz w:val="26"/>
          <w:szCs w:val="26"/>
        </w:rPr>
        <w:t>Об определении размера вреда, причиняемого тяжеловесными транспортными средствами при движении по автомобильным дорогам местного значения сельского поселения Верхнее Санчелеево муниципального района Ставропольский Самарской области</w:t>
      </w:r>
    </w:p>
    <w:p>
      <w:pPr>
        <w:pStyle w:val="NormalWeb"/>
        <w:shd w:val="clear" w:color="auto" w:fill="FFFFFF"/>
        <w:spacing w:beforeAutospacing="0" w:before="0" w:after="280"/>
        <w:jc w:val="center"/>
        <w:rPr>
          <w:sz w:val="26"/>
          <w:szCs w:val="26"/>
        </w:rPr>
      </w:pPr>
      <w:r>
        <w:rPr>
          <w:sz w:val="26"/>
          <w:szCs w:val="26"/>
        </w:rPr>
        <w:t> </w:t>
      </w:r>
    </w:p>
    <w:p>
      <w:pPr>
        <w:pStyle w:val="NormalWeb"/>
        <w:shd w:val="clear" w:color="auto" w:fill="FFFFFF"/>
        <w:spacing w:beforeAutospacing="0" w:before="0" w:after="280"/>
        <w:jc w:val="both"/>
        <w:rPr/>
      </w:pPr>
      <w:r>
        <w:rPr>
          <w:sz w:val="26"/>
          <w:szCs w:val="26"/>
        </w:rPr>
        <w:t>Руководствуясь </w:t>
      </w:r>
      <w:hyperlink r:id="rId3">
        <w:r>
          <w:rPr>
            <w:rStyle w:val="Style15"/>
            <w:sz w:val="26"/>
            <w:szCs w:val="26"/>
          </w:rPr>
          <w:t>статьями 13</w:t>
        </w:r>
      </w:hyperlink>
      <w:r>
        <w:rPr>
          <w:sz w:val="26"/>
          <w:szCs w:val="26"/>
        </w:rPr>
        <w:t>, </w:t>
      </w:r>
      <w:hyperlink r:id="rId4">
        <w:r>
          <w:rPr>
            <w:rStyle w:val="Style15"/>
            <w:sz w:val="26"/>
            <w:szCs w:val="26"/>
          </w:rPr>
          <w:t>31</w:t>
        </w:r>
      </w:hyperlink>
      <w:r>
        <w:rPr>
          <w:sz w:val="26"/>
          <w:szCs w:val="26"/>
        </w:rPr>
        <w:t> 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Верхнее Санчелеево муниципального района Ставропольский Самарской области, Администрация сельского поселения Верхнее Санчелеево</w:t>
      </w:r>
    </w:p>
    <w:p>
      <w:pPr>
        <w:pStyle w:val="NormalWeb"/>
        <w:shd w:val="clear" w:color="auto" w:fill="FFFFFF"/>
        <w:spacing w:beforeAutospacing="0" w:before="0" w:after="280"/>
        <w:jc w:val="center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ПОСТАНОВЛЯЕТ:</w:t>
      </w:r>
    </w:p>
    <w:p>
      <w:pPr>
        <w:pStyle w:val="Normal"/>
        <w:tabs>
          <w:tab w:val="clear" w:pos="708"/>
          <w:tab w:val="left" w:pos="567" w:leader="none"/>
          <w:tab w:val="left" w:pos="1418" w:leader="none"/>
        </w:tabs>
        <w:spacing w:lineRule="auto" w:line="276"/>
        <w:jc w:val="both"/>
        <w:rPr/>
      </w:pPr>
      <w:r>
        <w:rPr>
          <w:sz w:val="26"/>
          <w:szCs w:val="26"/>
        </w:rPr>
        <w:tab/>
      </w:r>
      <w:r>
        <w:rPr>
          <w:sz w:val="26"/>
          <w:szCs w:val="26"/>
        </w:rPr>
        <w:t>1</w:t>
      </w:r>
      <w:r>
        <w:rPr>
          <w:sz w:val="26"/>
          <w:szCs w:val="26"/>
        </w:rPr>
        <w:t>. 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Верхнее Санчелеево 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согласно Приложению № 1 к Постановлению Правительства Российской Федерации от 31.01.2020г.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>
      <w:pPr>
        <w:pStyle w:val="NormalWeb"/>
        <w:shd w:val="clear" w:color="auto" w:fill="FFFFFF"/>
        <w:spacing w:beforeAutospacing="0" w:before="0" w:after="280"/>
        <w:ind w:firstLine="708"/>
        <w:jc w:val="both"/>
        <w:rPr/>
      </w:pPr>
      <w:r>
        <w:rPr>
          <w:sz w:val="26"/>
          <w:szCs w:val="26"/>
        </w:rPr>
        <w:t>2.  Установить исходное значение </w:t>
      </w:r>
      <w:hyperlink r:id="rId5">
        <w:r>
          <w:rPr>
            <w:rStyle w:val="Style15"/>
            <w:sz w:val="26"/>
            <w:szCs w:val="26"/>
          </w:rPr>
          <w:t>размера</w:t>
        </w:r>
      </w:hyperlink>
      <w:r>
        <w:rPr>
          <w:sz w:val="26"/>
          <w:szCs w:val="26"/>
        </w:rPr>
        <w:t> вреда при превышении допустимых нагрузок на ось транспортного средства для автомобильных дорог местного значения сельского поселения Верхнее Санчелеево муниципального района Ставропольский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>
      <w:pPr>
        <w:pStyle w:val="NormalWeb"/>
        <w:shd w:val="clear" w:color="auto" w:fill="FFFFFF"/>
        <w:spacing w:beforeAutospacing="0" w:before="0" w:after="280"/>
        <w:ind w:firstLine="708"/>
        <w:jc w:val="both"/>
        <w:rPr/>
      </w:pPr>
      <w:r>
        <w:rPr>
          <w:sz w:val="26"/>
          <w:szCs w:val="26"/>
        </w:rPr>
        <w:t>3.Настоящее Постановление подлежит официальному опубликованию (обнародованию) в газете «</w:t>
      </w:r>
      <w:r>
        <w:rPr>
          <w:sz w:val="26"/>
          <w:szCs w:val="26"/>
        </w:rPr>
        <w:t>Верхнесанчелеевский Вестник</w:t>
      </w:r>
      <w:r>
        <w:rPr>
          <w:sz w:val="26"/>
          <w:szCs w:val="26"/>
        </w:rPr>
        <w:t xml:space="preserve">» и на официальном сайте администрации сельского поселения Верхнее Санчелеево в сети Интернет </w:t>
      </w:r>
      <w:r>
        <w:rPr>
          <w:sz w:val="26"/>
          <w:szCs w:val="26"/>
          <w:u w:val="single"/>
          <w:lang w:val="en-US"/>
        </w:rPr>
        <w:t>http://v.sancheleevo.stavrsp.ru/</w:t>
      </w:r>
    </w:p>
    <w:p>
      <w:pPr>
        <w:pStyle w:val="ConsPlusNormal1"/>
        <w:spacing w:lineRule="auto" w:line="276"/>
        <w:ind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4. Постановление вступает в силу со дня его официального опубликования. </w:t>
      </w:r>
    </w:p>
    <w:p>
      <w:pPr>
        <w:pStyle w:val="ConsPlusNormal1"/>
        <w:spacing w:lineRule="auto" w:line="276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76"/>
        <w:jc w:val="both"/>
        <w:rPr>
          <w:sz w:val="26"/>
          <w:szCs w:val="26"/>
        </w:rPr>
      </w:pPr>
      <w:r>
        <w:rPr>
          <w:sz w:val="26"/>
          <w:szCs w:val="26"/>
        </w:rPr>
        <w:t>Глава сельского поселения Верхнее Санчелеево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76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муниципального района Ставропольский </w:t>
      </w:r>
    </w:p>
    <w:p>
      <w:pPr>
        <w:pStyle w:val="Normal"/>
        <w:tabs>
          <w:tab w:val="clear" w:pos="708"/>
          <w:tab w:val="left" w:pos="1134" w:leader="none"/>
          <w:tab w:val="left" w:pos="1418" w:leader="none"/>
        </w:tabs>
        <w:spacing w:lineRule="auto" w:line="276"/>
        <w:jc w:val="both"/>
        <w:rPr/>
      </w:pPr>
      <w:r>
        <w:rPr>
          <w:sz w:val="26"/>
          <w:szCs w:val="26"/>
        </w:rPr>
        <w:t xml:space="preserve">Самарской области                                                                       </w:t>
      </w:r>
      <w:r>
        <w:rPr>
          <w:sz w:val="26"/>
          <w:szCs w:val="26"/>
        </w:rPr>
        <w:t>П</w:t>
      </w:r>
      <w:r>
        <w:rPr>
          <w:sz w:val="26"/>
          <w:szCs w:val="26"/>
        </w:rPr>
        <w:t>.В.</w:t>
      </w:r>
      <w:r>
        <w:rPr>
          <w:sz w:val="26"/>
          <w:szCs w:val="26"/>
        </w:rPr>
        <w:t>Чапарин</w:t>
      </w:r>
    </w:p>
    <w:p>
      <w:pPr>
        <w:pStyle w:val="ConsNormal"/>
        <w:widowControl/>
        <w:ind w:hanging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  <w:r>
        <w:br w:type="page"/>
      </w:r>
    </w:p>
    <w:p>
      <w:pPr>
        <w:pStyle w:val="Normal"/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>Приложение</w:t>
      </w:r>
    </w:p>
    <w:p>
      <w:pPr>
        <w:pStyle w:val="Normal"/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>к постановлению Администрации</w:t>
      </w:r>
    </w:p>
    <w:p>
      <w:pPr>
        <w:pStyle w:val="Normal"/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>сельского поселения Верхнее Санчелеево</w:t>
      </w:r>
    </w:p>
    <w:p>
      <w:pPr>
        <w:pStyle w:val="Normal"/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>муниципального района Ставропольский</w:t>
      </w:r>
    </w:p>
    <w:p>
      <w:pPr>
        <w:pStyle w:val="Normal"/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  <w:t>Самарской области</w:t>
      </w:r>
    </w:p>
    <w:p>
      <w:pPr>
        <w:pStyle w:val="Normal"/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</w:r>
    </w:p>
    <w:p>
      <w:pPr>
        <w:pStyle w:val="Normal"/>
        <w:shd w:val="clear" w:color="auto" w:fill="FFFFFF"/>
        <w:jc w:val="right"/>
        <w:rPr/>
      </w:pPr>
      <w:r>
        <w:rPr>
          <w:color w:val="212121"/>
          <w:sz w:val="20"/>
          <w:szCs w:val="20"/>
        </w:rPr>
        <w:t xml:space="preserve">От  </w:t>
      </w:r>
      <w:r>
        <w:rPr>
          <w:color w:val="212121"/>
          <w:sz w:val="20"/>
          <w:szCs w:val="20"/>
        </w:rPr>
        <w:t>31</w:t>
      </w:r>
      <w:r>
        <w:rPr>
          <w:color w:val="212121"/>
          <w:sz w:val="20"/>
          <w:szCs w:val="20"/>
        </w:rPr>
        <w:t>.0</w:t>
      </w:r>
      <w:r>
        <w:rPr>
          <w:color w:val="212121"/>
          <w:sz w:val="20"/>
          <w:szCs w:val="20"/>
        </w:rPr>
        <w:t>5</w:t>
      </w:r>
      <w:r>
        <w:rPr>
          <w:color w:val="212121"/>
          <w:sz w:val="20"/>
          <w:szCs w:val="20"/>
        </w:rPr>
        <w:t>.203г.  №</w:t>
      </w:r>
      <w:r>
        <w:rPr>
          <w:color w:val="212121"/>
          <w:sz w:val="20"/>
          <w:szCs w:val="20"/>
        </w:rPr>
        <w:t>31</w:t>
      </w:r>
    </w:p>
    <w:p>
      <w:pPr>
        <w:pStyle w:val="Normal"/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</w:r>
    </w:p>
    <w:p>
      <w:pPr>
        <w:pStyle w:val="Normal"/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before="0" w:after="240"/>
        <w:jc w:val="center"/>
        <w:textAlignment w:val="baseline"/>
        <w:outlineLvl w:val="2"/>
        <w:rPr>
          <w:b/>
          <w:b/>
          <w:bCs/>
        </w:rPr>
      </w:pPr>
      <w:r>
        <w:rPr>
          <w:b/>
          <w:bCs/>
        </w:rPr>
        <w:t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местного значения в сельском поселении Верхнее Санчелеево муниципального района Ставропольский Самарской области</w:t>
      </w:r>
    </w:p>
    <w:p>
      <w:pPr>
        <w:pStyle w:val="Normal"/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</w:r>
    </w:p>
    <w:p>
      <w:pPr>
        <w:pStyle w:val="Normal"/>
        <w:shd w:val="clear" w:color="auto" w:fill="FFFFFF"/>
        <w:jc w:val="right"/>
        <w:rPr>
          <w:color w:val="212121"/>
          <w:sz w:val="20"/>
          <w:szCs w:val="20"/>
        </w:rPr>
      </w:pPr>
      <w:r>
        <w:rPr>
          <w:color w:val="212121"/>
          <w:sz w:val="20"/>
          <w:szCs w:val="20"/>
        </w:rPr>
      </w:r>
    </w:p>
    <w:p>
      <w:pPr>
        <w:pStyle w:val="Normal"/>
        <w:shd w:val="clear" w:color="auto" w:fill="FFFFFF"/>
        <w:spacing w:before="0" w:afterAutospacing="1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 </w:t>
      </w:r>
    </w:p>
    <w:tbl>
      <w:tblPr>
        <w:tblW w:w="9365" w:type="dxa"/>
        <w:jc w:val="left"/>
        <w:tblInd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  <w:insideH w:val="outset" w:sz="6" w:space="0" w:color="000000"/>
          <w:insideV w:val="outset" w:sz="6" w:space="0" w:color="000000"/>
        </w:tblBorders>
        <w:shd w:fill="FFFFFF" w:val="clear"/>
        <w:tblCellMar>
          <w:top w:w="0" w:type="dxa"/>
          <w:left w:w="22" w:type="dxa"/>
          <w:bottom w:w="0" w:type="dxa"/>
          <w:right w:w="22" w:type="dxa"/>
        </w:tblCellMar>
        <w:tblLook w:val="04a0"/>
      </w:tblPr>
      <w:tblGrid>
        <w:gridCol w:w="5578"/>
        <w:gridCol w:w="1559"/>
        <w:gridCol w:w="1114"/>
        <w:gridCol w:w="1113"/>
      </w:tblGrid>
      <w:tr>
        <w:trPr/>
        <w:tc>
          <w:tcPr>
            <w:tcW w:w="5578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Autospacing="1"/>
              <w:jc w:val="center"/>
              <w:rPr>
                <w:b/>
                <w:b/>
                <w:bCs/>
                <w:color w:val="212121"/>
                <w:sz w:val="21"/>
                <w:szCs w:val="21"/>
              </w:rPr>
            </w:pPr>
            <w:r>
              <w:rPr>
                <w:b/>
                <w:bCs/>
                <w:color w:val="212121"/>
                <w:sz w:val="21"/>
                <w:szCs w:val="21"/>
              </w:rPr>
              <w:t>Нормативная нагрузка на ось транспортного средства для автомобильной дороги, тс</w:t>
            </w:r>
          </w:p>
        </w:tc>
        <w:tc>
          <w:tcPr>
            <w:tcW w:w="1559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Autospacing="1"/>
              <w:jc w:val="center"/>
              <w:rPr>
                <w:b/>
                <w:b/>
                <w:bCs/>
                <w:color w:val="212121"/>
                <w:sz w:val="21"/>
                <w:szCs w:val="21"/>
              </w:rPr>
            </w:pPr>
            <w:r>
              <w:rPr>
                <w:b/>
                <w:bCs/>
                <w:color w:val="212121"/>
                <w:sz w:val="21"/>
                <w:szCs w:val="21"/>
              </w:rPr>
              <w:t>Р исх.ось, руб./100 км</w:t>
            </w:r>
          </w:p>
        </w:tc>
        <w:tc>
          <w:tcPr>
            <w:tcW w:w="2227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Autospacing="1"/>
              <w:jc w:val="center"/>
              <w:rPr>
                <w:b/>
                <w:b/>
                <w:bCs/>
                <w:color w:val="212121"/>
                <w:sz w:val="21"/>
                <w:szCs w:val="21"/>
              </w:rPr>
            </w:pPr>
            <w:r>
              <w:rPr>
                <w:b/>
                <w:bCs/>
                <w:color w:val="212121"/>
                <w:sz w:val="21"/>
                <w:szCs w:val="21"/>
              </w:rPr>
              <w:t>Постоянные коэффициенты</w:t>
            </w:r>
          </w:p>
        </w:tc>
      </w:tr>
      <w:tr>
        <w:trPr/>
        <w:tc>
          <w:tcPr>
            <w:tcW w:w="5578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</w:r>
          </w:p>
        </w:tc>
        <w:tc>
          <w:tcPr>
            <w:tcW w:w="1559" w:type="dxa"/>
            <w:vMerge w:val="continue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</w:r>
          </w:p>
        </w:tc>
        <w:tc>
          <w:tcPr>
            <w:tcW w:w="111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a</w:t>
            </w:r>
          </w:p>
        </w:tc>
        <w:tc>
          <w:tcPr>
            <w:tcW w:w="111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b</w:t>
            </w:r>
          </w:p>
        </w:tc>
      </w:tr>
      <w:tr>
        <w:trPr/>
        <w:tc>
          <w:tcPr>
            <w:tcW w:w="557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6</w:t>
            </w:r>
          </w:p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10</w:t>
            </w:r>
          </w:p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11,5</w:t>
            </w:r>
          </w:p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8500</w:t>
            </w:r>
          </w:p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1840</w:t>
            </w:r>
          </w:p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840</w:t>
            </w:r>
          </w:p>
        </w:tc>
        <w:tc>
          <w:tcPr>
            <w:tcW w:w="111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7,3</w:t>
            </w:r>
          </w:p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37,7</w:t>
            </w:r>
          </w:p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39,5</w:t>
            </w:r>
          </w:p>
        </w:tc>
        <w:tc>
          <w:tcPr>
            <w:tcW w:w="111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0,27</w:t>
            </w:r>
          </w:p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2,4</w:t>
            </w:r>
          </w:p>
          <w:p>
            <w:pPr>
              <w:pStyle w:val="Normal"/>
              <w:spacing w:before="0" w:afterAutospacing="1"/>
              <w:jc w:val="center"/>
              <w:rPr>
                <w:color w:val="212121"/>
                <w:sz w:val="21"/>
                <w:szCs w:val="21"/>
              </w:rPr>
            </w:pPr>
            <w:r>
              <w:rPr>
                <w:color w:val="212121"/>
                <w:sz w:val="21"/>
                <w:szCs w:val="21"/>
              </w:rPr>
              <w:t>2,7</w:t>
            </w:r>
          </w:p>
        </w:tc>
      </w:tr>
    </w:tbl>
    <w:p>
      <w:pPr>
        <w:pStyle w:val="Normal"/>
        <w:shd w:val="clear" w:color="auto" w:fill="FFFFFF"/>
        <w:spacing w:before="0" w:afterAutospacing="1"/>
        <w:jc w:val="center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>
      <w:pPr>
        <w:pStyle w:val="Normal"/>
        <w:numPr>
          <w:ilvl w:val="0"/>
          <w:numId w:val="0"/>
        </w:numPr>
        <w:spacing w:before="0" w:after="240"/>
        <w:jc w:val="center"/>
        <w:textAlignment w:val="baseline"/>
        <w:outlineLvl w:val="2"/>
        <w:rPr>
          <w:b/>
          <w:b/>
          <w:bCs/>
        </w:rPr>
      </w:pPr>
      <w:r>
        <w:rPr>
          <w:b/>
          <w:bCs/>
        </w:rPr>
        <w:t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местного значения в сельском поселении Верхнее Санчелеево муниципального района Ставропольский Самарской области</w:t>
      </w:r>
    </w:p>
    <w:p>
      <w:pPr>
        <w:pStyle w:val="Normal"/>
        <w:numPr>
          <w:ilvl w:val="0"/>
          <w:numId w:val="0"/>
        </w:numPr>
        <w:spacing w:before="0" w:after="240"/>
        <w:jc w:val="right"/>
        <w:textAlignment w:val="baseline"/>
        <w:outlineLvl w:val="3"/>
        <w:rPr>
          <w:b/>
          <w:b/>
          <w:bCs/>
        </w:rPr>
      </w:pPr>
      <w:r>
        <w:rPr>
          <w:b/>
          <w:bCs/>
        </w:rPr>
        <w:br/>
        <w:t>Таблица 2</w:t>
      </w:r>
    </w:p>
    <w:p>
      <w:pPr>
        <w:pStyle w:val="Normal"/>
        <w:spacing w:before="0" w:after="240"/>
        <w:jc w:val="center"/>
        <w:textAlignment w:val="baseline"/>
        <w:rPr>
          <w:b/>
          <w:b/>
          <w:bCs/>
        </w:rPr>
      </w:pPr>
      <w:r>
        <w:rPr>
          <w:b/>
          <w:bCs/>
        </w:rPr>
        <w:t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местного значения в сельском поселении Верхнее Санчелеево муниципального района Ставропольский Самарской области,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  <w:r>
        <w:rPr>
          <w:rFonts w:cs="Arial" w:ascii="Arial" w:hAnsi="Arial"/>
          <w:b/>
          <w:bCs/>
          <w:color w:val="444444"/>
        </w:rPr>
        <w:br/>
      </w:r>
    </w:p>
    <w:tbl>
      <w:tblPr>
        <w:tblW w:w="9240" w:type="dxa"/>
        <w:jc w:val="left"/>
        <w:tblInd w:w="0" w:type="dxa"/>
        <w:tblBorders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4435"/>
        <w:gridCol w:w="4804"/>
      </w:tblGrid>
      <w:tr>
        <w:trPr>
          <w:trHeight w:val="15" w:hRule="exact"/>
        </w:trPr>
        <w:tc>
          <w:tcPr>
            <w:tcW w:w="4435" w:type="dxa"/>
            <w:tcBorders/>
            <w:shd w:fill="auto" w:val="clear"/>
          </w:tcPr>
          <w:p>
            <w:pPr>
              <w:pStyle w:val="Normal"/>
              <w:rPr>
                <w:sz w:val="2"/>
              </w:rPr>
            </w:pPr>
            <w:r>
              <w:rPr>
                <w:sz w:val="2"/>
              </w:rPr>
            </w:r>
          </w:p>
        </w:tc>
        <w:tc>
          <w:tcPr>
            <w:tcW w:w="4804" w:type="dxa"/>
            <w:tcBorders/>
            <w:shd w:fill="auto" w:val="clear"/>
          </w:tcPr>
          <w:p>
            <w:pPr>
              <w:pStyle w:val="Normal"/>
              <w:rPr>
                <w:sz w:val="2"/>
              </w:rPr>
            </w:pPr>
            <w:r>
              <w:rPr>
                <w:sz w:val="2"/>
              </w:rPr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Размер вреда (рублей на 100 км)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свыше 10 до 11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1288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11 (включительно) до 12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1344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12 (включительно) до 13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1404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13 (включительно) до 14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1469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14 (включительно) до 15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1539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15 (включительно) до 16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1614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16 (включительно) до 17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1694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17 (включительно) до 18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1778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18 (включительно) до 19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1867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19 (включительно) до 20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1961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20 (включительно) до 21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2059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21 (включительно) до 22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2162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22 (включительно) до 23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2270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23 (включительно) до 24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2382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24 (включительно) до 25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2499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25 (включительно) до 26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2620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26 (включительно) до 27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2746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27 (включительно) до 28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2876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28 (включительно) до 29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3011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29 (включительно) до 30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3150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30 (включительно) до 31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3294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31 (включительно) до 32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3443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32 (включительно) до 33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3595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33 (включительно) до 34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3753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34 (включительно) до 35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3914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35 (включительно) до 36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4081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36 (включительно) до 37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4251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37 (включительно) до 38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4426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38 (включительно) до 39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4606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39 (включительно) до 40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4789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40 (включительно) до 41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4978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41 (включительно) до 42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5170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42 (включительно) до 43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5367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43 (включительно) до 44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5569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44 (включительно) до 45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5774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45 (включительно) до 46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5984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46 (включительно) до 47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6199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47 (включительно) до 48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6417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48 (включительно) до 49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6640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49 (включительно) до 50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6868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50 (включительно) до 51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7099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51 (включительно) до 52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7335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52 (включительно) до 53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7576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53 (включительно) до 54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7820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54 (включительно) до 55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8069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55 (включительно) до 56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8322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56 (включительно) до 57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8579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57 (включительно) до 58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8841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58 (включительно) до 59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9107</w:t>
            </w:r>
          </w:p>
        </w:tc>
      </w:tr>
      <w:tr>
        <w:trPr/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59 (включительно) до 60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9377</w:t>
            </w:r>
          </w:p>
        </w:tc>
      </w:tr>
      <w:tr>
        <w:trPr>
          <w:trHeight w:val="1684" w:hRule="atLeast"/>
        </w:trPr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60 (включительно) и выше</w:t>
            </w:r>
          </w:p>
        </w:tc>
        <w:tc>
          <w:tcPr>
            <w:tcW w:w="4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textAlignment w:val="baseline"/>
              <w:rPr/>
            </w:pPr>
            <w:r>
              <w:rPr/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r>
              <w:fldChar w:fldCharType="begin"/>
            </w:r>
            <w:r>
              <w:rPr>
                <w:rStyle w:val="Style15"/>
              </w:rPr>
              <w:instrText> HYPERLINK "https://docs.cntd.ru/document/564192136" \l "6580IP"</w:instrText>
            </w:r>
            <w:r>
              <w:rPr>
                <w:rStyle w:val="Style15"/>
              </w:rPr>
              <w:fldChar w:fldCharType="separate"/>
            </w:r>
            <w:r>
              <w:rPr>
                <w:rStyle w:val="Style15"/>
                <w:color w:val="3451A0"/>
              </w:rPr>
              <w:t>Правилам возмещения вреда, причиняемого тяжеловесными транспортными средствами</w:t>
            </w:r>
            <w:r>
              <w:rPr>
                <w:rStyle w:val="Style15"/>
              </w:rPr>
              <w:fldChar w:fldCharType="end"/>
            </w:r>
            <w:r>
              <w:rPr/>
              <w:t>, утвержденным </w:t>
            </w:r>
            <w:r>
              <w:fldChar w:fldCharType="begin"/>
            </w:r>
            <w:r>
              <w:rPr>
                <w:rStyle w:val="Style15"/>
              </w:rPr>
              <w:instrText> HYPERLINK "https://docs.cntd.ru/document/564192136" \l "7D20K3"</w:instrText>
            </w:r>
            <w:r>
              <w:rPr>
                <w:rStyle w:val="Style15"/>
              </w:rPr>
              <w:fldChar w:fldCharType="separate"/>
            </w:r>
            <w:r>
              <w:rPr>
                <w:rStyle w:val="Style15"/>
                <w:color w:val="3451A0"/>
              </w:rPr>
              <w:t>постановлением Правительства Российской Федерации от 31.01.2020 N 67</w:t>
            </w:r>
            <w:r>
              <w:rPr>
                <w:rStyle w:val="Style15"/>
              </w:rPr>
              <w:fldChar w:fldCharType="end"/>
            </w:r>
          </w:p>
        </w:tc>
      </w:tr>
    </w:tbl>
    <w:p>
      <w:pPr>
        <w:pStyle w:val="4"/>
        <w:spacing w:before="0" w:after="240"/>
        <w:jc w:val="right"/>
        <w:textAlignment w:val="baseline"/>
        <w:rPr>
          <w:rFonts w:ascii="Arial" w:hAnsi="Arial" w:cs="Arial"/>
          <w:i w:val="false"/>
          <w:i w:val="false"/>
          <w:color w:val="444444"/>
        </w:rPr>
      </w:pPr>
      <w:r>
        <w:rPr>
          <w:rFonts w:cs="Arial" w:ascii="Arial" w:hAnsi="Arial"/>
          <w:color w:val="444444"/>
        </w:rPr>
        <w:br/>
        <w:br/>
      </w:r>
      <w:r>
        <w:rPr>
          <w:rFonts w:cs="Arial" w:ascii="Arial" w:hAnsi="Arial"/>
          <w:i w:val="false"/>
          <w:color w:val="444444"/>
        </w:rPr>
        <w:t>Таблица 3</w:t>
      </w:r>
    </w:p>
    <w:p>
      <w:pPr>
        <w:pStyle w:val="Normal"/>
        <w:spacing w:before="0" w:after="240"/>
        <w:jc w:val="center"/>
        <w:textAlignment w:val="baseline"/>
        <w:rPr>
          <w:b/>
          <w:b/>
          <w:bCs/>
        </w:rPr>
      </w:pPr>
      <w:r>
        <w:rPr>
          <w:b/>
          <w:bCs/>
        </w:rPr>
        <w:t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местного значения в сельском поселении Верхнее Санчелеево муниципального района Ставропольский Самарской области,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9349" w:type="dxa"/>
        <w:jc w:val="left"/>
        <w:tblInd w:w="0" w:type="dxa"/>
        <w:tblBorders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4387"/>
        <w:gridCol w:w="4961"/>
      </w:tblGrid>
      <w:tr>
        <w:trPr>
          <w:trHeight w:val="15" w:hRule="exact"/>
        </w:trPr>
        <w:tc>
          <w:tcPr>
            <w:tcW w:w="4387" w:type="dxa"/>
            <w:tcBorders/>
            <w:shd w:fill="auto" w:val="clear"/>
          </w:tcPr>
          <w:p>
            <w:pPr>
              <w:pStyle w:val="Normal"/>
              <w:rPr>
                <w:sz w:val="2"/>
              </w:rPr>
            </w:pPr>
            <w:r>
              <w:rPr>
                <w:sz w:val="2"/>
              </w:rPr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rPr>
                <w:sz w:val="2"/>
              </w:rPr>
            </w:pPr>
            <w:r>
              <w:rPr>
                <w:sz w:val="2"/>
              </w:rPr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Размер вреда (рублей на 100 км)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свыше 10 до 11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550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11 (включительно) до 12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568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12 (включительно) до 13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587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13 (включительно) до 14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608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14 (включительно) до 15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631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15 (включительно) до 16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655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16 (включительно) до 17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680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17 (включительно) до 18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707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18 (включительно) до 19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736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19 (включительно) до 20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766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20 (включительно) до 21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797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21 (включительно) до 22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830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22 (включительно) до 23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865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23 (включительно) до 24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900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24 (включительно) до 25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938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25 (включительно) до 26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977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26 (включительно) до 27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1017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27 (включительно) до 28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1059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28 (включительно) до 29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1102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29 (включительно) до 30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1147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30 (включительно) до 31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1193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31 (включительно) до 32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1240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32 (включительно) до 33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1289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33 (включительно) до 34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1339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34 (включительно) до 35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1391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35 (включительно) до 36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1444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36 (включительно) до 37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1499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37 (включительно) до 38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1555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38 (включительно) до 39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1613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39 (включительно) до 40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1671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40 (включительно) до 41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1732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41 (включительно) до 42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1793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42 (включительно) до 43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1856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43 (включительно) до 44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1921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44 (включительно) до 45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1987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45 (включительно) до 46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2054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46 (включительно) до 47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2123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47 (включительно) до 48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2193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48 (включительно) до 49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2264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49 (включительно) до 50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2337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50 (включительно) до 51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2411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51 (включительно) до 52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2487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52 (включительно) до 53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2564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53 (включительно) до 54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2642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54 (включительно) до 55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2722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55 (включительно) до 56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2803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56 (включительно) до 57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2885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57 (включительно) до 58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2969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58 (включительно) до 59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3054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59 (включительно) до 60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3140</w:t>
            </w:r>
          </w:p>
        </w:tc>
      </w:tr>
      <w:tr>
        <w:trPr>
          <w:trHeight w:val="2819" w:hRule="atLeast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60 (включительно) и выше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textAlignment w:val="baseline"/>
              <w:rPr/>
            </w:pPr>
            <w:r>
              <w:rPr/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r>
              <w:fldChar w:fldCharType="begin"/>
            </w:r>
            <w:r>
              <w:rPr>
                <w:rStyle w:val="Style15"/>
              </w:rPr>
              <w:instrText> HYPERLINK "https://docs.cntd.ru/document/564192136" \l "6580IP"</w:instrText>
            </w:r>
            <w:r>
              <w:rPr>
                <w:rStyle w:val="Style15"/>
              </w:rPr>
              <w:fldChar w:fldCharType="separate"/>
            </w:r>
            <w:r>
              <w:rPr>
                <w:rStyle w:val="Style15"/>
                <w:color w:val="3451A0"/>
              </w:rPr>
              <w:t>Правилам возмещения вреда, причиняемого тяжеловесными транспортными средствами</w:t>
            </w:r>
            <w:r>
              <w:rPr>
                <w:rStyle w:val="Style15"/>
              </w:rPr>
              <w:fldChar w:fldCharType="end"/>
            </w:r>
            <w:r>
              <w:rPr/>
              <w:t>, утвержденным </w:t>
            </w:r>
            <w:r>
              <w:fldChar w:fldCharType="begin"/>
            </w:r>
            <w:r>
              <w:rPr>
                <w:rStyle w:val="Style15"/>
              </w:rPr>
              <w:instrText> HYPERLINK "https://docs.cntd.ru/document/564192136" \l "7D20K3"</w:instrText>
            </w:r>
            <w:r>
              <w:rPr>
                <w:rStyle w:val="Style15"/>
              </w:rPr>
              <w:fldChar w:fldCharType="separate"/>
            </w:r>
            <w:r>
              <w:rPr>
                <w:rStyle w:val="Style15"/>
                <w:color w:val="3451A0"/>
              </w:rPr>
              <w:t>постановлением Правительства Российской Федерации от 31.01.2020 N 67</w:t>
            </w:r>
            <w:r>
              <w:rPr>
                <w:rStyle w:val="Style15"/>
              </w:rPr>
              <w:fldChar w:fldCharType="end"/>
            </w:r>
          </w:p>
        </w:tc>
      </w:tr>
    </w:tbl>
    <w:p>
      <w:pPr>
        <w:pStyle w:val="4"/>
        <w:spacing w:before="0" w:after="240"/>
        <w:jc w:val="right"/>
        <w:textAlignment w:val="baseline"/>
        <w:rPr>
          <w:rFonts w:ascii="Arial" w:hAnsi="Arial" w:cs="Arial"/>
          <w:i w:val="false"/>
          <w:i w:val="false"/>
          <w:color w:val="444444"/>
        </w:rPr>
      </w:pPr>
      <w:r>
        <w:rPr>
          <w:rFonts w:cs="Arial" w:ascii="Arial" w:hAnsi="Arial"/>
          <w:color w:val="444444"/>
        </w:rPr>
        <w:br/>
        <w:br/>
      </w:r>
      <w:r>
        <w:rPr>
          <w:rFonts w:cs="Arial" w:ascii="Arial" w:hAnsi="Arial"/>
          <w:i w:val="false"/>
          <w:color w:val="444444"/>
        </w:rPr>
        <w:t>Таблица 4</w:t>
      </w:r>
    </w:p>
    <w:p>
      <w:pPr>
        <w:pStyle w:val="Normal"/>
        <w:spacing w:before="0" w:after="240"/>
        <w:jc w:val="center"/>
        <w:textAlignment w:val="baseline"/>
        <w:rPr>
          <w:b/>
          <w:b/>
          <w:bCs/>
        </w:rPr>
      </w:pPr>
      <w:r>
        <w:rPr>
          <w:b/>
          <w:bCs/>
        </w:rPr>
        <w:t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местного значения в сельском поселении Верхнее Санчелеево муниципального района Ставропольский Самарской области вследствие превышения допустимой массы транспортного средства</w:t>
      </w:r>
    </w:p>
    <w:tbl>
      <w:tblPr>
        <w:tblW w:w="9349" w:type="dxa"/>
        <w:jc w:val="left"/>
        <w:tblInd w:w="0" w:type="dxa"/>
        <w:tblBorders/>
        <w:tblCellMar>
          <w:top w:w="0" w:type="dxa"/>
          <w:left w:w="0" w:type="dxa"/>
          <w:bottom w:w="0" w:type="dxa"/>
          <w:right w:w="0" w:type="dxa"/>
        </w:tblCellMar>
        <w:tblLook w:val="04a0"/>
      </w:tblPr>
      <w:tblGrid>
        <w:gridCol w:w="4387"/>
        <w:gridCol w:w="4961"/>
      </w:tblGrid>
      <w:tr>
        <w:trPr>
          <w:trHeight w:val="15" w:hRule="exact"/>
        </w:trPr>
        <w:tc>
          <w:tcPr>
            <w:tcW w:w="4387" w:type="dxa"/>
            <w:tcBorders/>
            <w:shd w:fill="auto" w:val="clear"/>
          </w:tcPr>
          <w:p>
            <w:pPr>
              <w:pStyle w:val="Normal"/>
              <w:rPr>
                <w:sz w:val="2"/>
              </w:rPr>
            </w:pPr>
            <w:r>
              <w:rPr>
                <w:sz w:val="2"/>
              </w:rPr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rPr>
                <w:sz w:val="2"/>
              </w:rPr>
            </w:pPr>
            <w:r>
              <w:rPr>
                <w:sz w:val="2"/>
              </w:rPr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Превышение допустимой массы транспортного средства (процентов)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Размер вреда (рублей на 100 км)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свыше 10 до 11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4025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11 (включительно) до 12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4082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12 (включительно) до 13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4140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13 (включительно) до 14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4198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14 (включительно) до 15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4256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15 (включительно) до 16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4313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16 (включительно) до 17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4371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17 (включительно) до 18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4429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18 (включительно) до 19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4487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19 (включительно) до 20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4544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20 (включительно) до 21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4602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21 (включительно) до 22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4660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22 (включительно) до 23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4718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23 (включительно) до 24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4775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24 (включительно) до 25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4833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25 (включительно) до 26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4891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26 (включительно) до 27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4949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27 (включительно) до 28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5006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28 (включительно) до 29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5064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29 (включительно) до 30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5122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30 (включительно) до 31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5180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31 (включительно) до 32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5237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32 (включительно) до 33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5295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33 (включительно) до 34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5353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34 (включительно) до 35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5411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35 (включительно) до 36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5468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36 (включительно) до 37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5526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37 (включительно) до 38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5584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38 (включительно) до 39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5642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39 (включительно) до 40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5699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40 (включительно) до 41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5757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41 (включительно) до 42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5815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42 (включительно) до 43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5873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43 (включительно) до 44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5930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44 (включительно) до 45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5988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45 (включительно) до 46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6046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46 (включительно) до 47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6104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47 (включительно) до 48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6161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48 (включительно) до 49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6219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49 (включительно) до 50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6277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50 (включительно) до 51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6335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51 (включительно) до 52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6392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52 (включительно) до 53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6450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53 (включительно) до 54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6508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54 (включительно) до 55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6566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55 (включительно) до 56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6623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56 (включительно) до 57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6681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57 (включительно) до 58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6739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58 (включительно) до 59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6797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59 (включительно) до 60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6854</w:t>
            </w:r>
          </w:p>
        </w:tc>
      </w:tr>
      <w:tr>
        <w:trPr/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jc w:val="center"/>
              <w:textAlignment w:val="baseline"/>
              <w:rPr/>
            </w:pPr>
            <w:r>
              <w:rPr/>
              <w:t>от 60 (включительно) и выше</w:t>
            </w:r>
          </w:p>
        </w:tc>
        <w:tc>
          <w:tcPr>
            <w:tcW w:w="4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tcMar>
              <w:left w:w="149" w:type="dxa"/>
              <w:right w:w="149" w:type="dxa"/>
            </w:tcMar>
          </w:tcPr>
          <w:p>
            <w:pPr>
              <w:pStyle w:val="Formattext"/>
              <w:spacing w:beforeAutospacing="0" w:before="0" w:afterAutospacing="0" w:after="0"/>
              <w:textAlignment w:val="baseline"/>
              <w:rPr/>
            </w:pPr>
            <w:r>
              <w:rPr/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r>
              <w:fldChar w:fldCharType="begin"/>
            </w:r>
            <w:r>
              <w:rPr>
                <w:rStyle w:val="Style15"/>
              </w:rPr>
              <w:instrText> HYPERLINK "https://docs.cntd.ru/document/564192136" \l "6580IP"</w:instrText>
            </w:r>
            <w:r>
              <w:rPr>
                <w:rStyle w:val="Style15"/>
              </w:rPr>
              <w:fldChar w:fldCharType="separate"/>
            </w:r>
            <w:r>
              <w:rPr>
                <w:rStyle w:val="Style15"/>
                <w:color w:val="3451A0"/>
              </w:rPr>
              <w:t>Правилам возмещения вреда, причиняемого тяжеловесными транспортными средствами</w:t>
            </w:r>
            <w:r>
              <w:rPr>
                <w:rStyle w:val="Style15"/>
              </w:rPr>
              <w:fldChar w:fldCharType="end"/>
            </w:r>
            <w:r>
              <w:rPr/>
              <w:t>, утвержденным </w:t>
            </w:r>
            <w:r>
              <w:fldChar w:fldCharType="begin"/>
            </w:r>
            <w:r>
              <w:rPr>
                <w:rStyle w:val="Style15"/>
              </w:rPr>
              <w:instrText> HYPERLINK "https://docs.cntd.ru/document/564192136" \l "7D20K3"</w:instrText>
            </w:r>
            <w:r>
              <w:rPr>
                <w:rStyle w:val="Style15"/>
              </w:rPr>
              <w:fldChar w:fldCharType="separate"/>
            </w:r>
            <w:r>
              <w:rPr>
                <w:rStyle w:val="Style15"/>
                <w:color w:val="3451A0"/>
              </w:rPr>
              <w:t>постановлением Правительства Российской Федерации от 31.01.2020 N 67</w:t>
            </w:r>
            <w:r>
              <w:rPr>
                <w:rStyle w:val="Style15"/>
              </w:rPr>
              <w:fldChar w:fldCharType="end"/>
            </w:r>
            <w:r>
              <w:rPr/>
              <w:br/>
            </w:r>
          </w:p>
        </w:tc>
      </w:tr>
    </w:tbl>
    <w:p>
      <w:pPr>
        <w:pStyle w:val="Normal"/>
        <w:shd w:val="clear" w:color="auto" w:fill="FFFFFF"/>
        <w:spacing w:before="0" w:afterAutospacing="1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</w:r>
    </w:p>
    <w:p>
      <w:pPr>
        <w:pStyle w:val="Normal"/>
        <w:shd w:val="clear" w:color="auto" w:fill="FFFFFF"/>
        <w:spacing w:before="0" w:afterAutospacing="1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</w:r>
    </w:p>
    <w:p>
      <w:pPr>
        <w:pStyle w:val="Normal"/>
        <w:shd w:val="clear" w:color="auto" w:fill="FFFFFF"/>
        <w:spacing w:before="0" w:afterAutospacing="1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</w:r>
    </w:p>
    <w:p>
      <w:pPr>
        <w:pStyle w:val="Normal"/>
        <w:shd w:val="clear" w:color="auto" w:fill="FFFFFF"/>
        <w:spacing w:before="0" w:afterAutospacing="1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jc w:val="both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/>
      </w:pPr>
      <w:r>
        <w:rPr/>
      </w:r>
    </w:p>
    <w:sectPr>
      <w:headerReference w:type="default" r:id="rId6"/>
      <w:type w:val="nextPage"/>
      <w:pgSz w:w="11906" w:h="16838"/>
      <w:pgMar w:left="1701" w:right="850" w:header="708" w:top="765" w:footer="0" w:bottom="1134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libri Light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010614855"/>
    </w:sdtPr>
    <w:sdtContent>
      <w:p>
        <w:pPr>
          <w:pStyle w:val="Style23"/>
          <w:rPr/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t>8</w:t>
        </w:r>
        <w:r>
          <w:rPr>
            <w:rStyle w:val="Pagenumber"/>
          </w:rPr>
          <w:fldChar w:fldCharType="end"/>
        </w:r>
      </w:p>
    </w:sdtContent>
  </w:sdt>
  <w:p>
    <w:pPr>
      <w:pStyle w:val="Style23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4"/>
        <w:szCs w:val="24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0758b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1">
    <w:name w:val="Heading 1"/>
    <w:basedOn w:val="Normal"/>
    <w:next w:val="Normal"/>
    <w:link w:val="11"/>
    <w:uiPriority w:val="9"/>
    <w:qFormat/>
    <w:rsid w:val="00ca0c2c"/>
    <w:pPr>
      <w:keepNext w:val="true"/>
      <w:jc w:val="both"/>
      <w:outlineLvl w:val="0"/>
    </w:pPr>
    <w:rPr>
      <w:rFonts w:eastAsia="" w:eastAsiaTheme="minorEastAsia"/>
      <w:sz w:val="28"/>
      <w:szCs w:val="20"/>
    </w:rPr>
  </w:style>
  <w:style w:type="paragraph" w:styleId="3">
    <w:name w:val="Heading 3"/>
    <w:basedOn w:val="Normal"/>
    <w:next w:val="Normal"/>
    <w:link w:val="30"/>
    <w:uiPriority w:val="9"/>
    <w:semiHidden/>
    <w:unhideWhenUsed/>
    <w:qFormat/>
    <w:rsid w:val="00b14534"/>
    <w:pPr>
      <w:keepNext w:val="true"/>
      <w:keepLines/>
      <w:spacing w:before="200" w:after="0"/>
      <w:outlineLvl w:val="2"/>
    </w:pPr>
    <w:rPr>
      <w:rFonts w:ascii="Calibri Light" w:hAnsi="Calibri Light" w:eastAsia="" w:cs="" w:asciiTheme="majorHAnsi" w:cstheme="majorBidi" w:eastAsiaTheme="majorEastAsia" w:hAnsiTheme="majorHAnsi"/>
      <w:b/>
      <w:bCs/>
      <w:color w:val="4472C4" w:themeColor="accent1"/>
    </w:rPr>
  </w:style>
  <w:style w:type="paragraph" w:styleId="4">
    <w:name w:val="Heading 4"/>
    <w:basedOn w:val="Normal"/>
    <w:next w:val="Normal"/>
    <w:link w:val="40"/>
    <w:uiPriority w:val="9"/>
    <w:semiHidden/>
    <w:unhideWhenUsed/>
    <w:qFormat/>
    <w:rsid w:val="00c85a08"/>
    <w:pPr>
      <w:keepNext w:val="true"/>
      <w:keepLines/>
      <w:spacing w:before="200" w:after="0"/>
      <w:outlineLvl w:val="3"/>
    </w:pPr>
    <w:rPr>
      <w:rFonts w:ascii="Calibri Light" w:hAnsi="Calibri Light" w:eastAsia="" w:cs="" w:asciiTheme="majorHAnsi" w:cstheme="majorBidi" w:eastAsiaTheme="majorEastAsia" w:hAnsiTheme="majorHAnsi"/>
      <w:b/>
      <w:bCs/>
      <w:i/>
      <w:iCs/>
      <w:color w:val="4472C4" w:themeColor="accent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1" w:customStyle="1">
    <w:name w:val="Текст сноски Знак"/>
    <w:basedOn w:val="DefaultParagraphFont"/>
    <w:link w:val="a5"/>
    <w:uiPriority w:val="99"/>
    <w:semiHidden/>
    <w:qFormat/>
    <w:rsid w:val="00165f1f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2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165f1f"/>
    <w:rPr>
      <w:vertAlign w:val="superscript"/>
    </w:rPr>
  </w:style>
  <w:style w:type="character" w:styleId="Style13" w:customStyle="1">
    <w:name w:val="Верхний колонтитул Знак"/>
    <w:basedOn w:val="DefaultParagraphFont"/>
    <w:link w:val="a8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Style14" w:customStyle="1">
    <w:name w:val="Нижний колонтитул Знак"/>
    <w:basedOn w:val="DefaultParagraphFont"/>
    <w:link w:val="aa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Pagenumber">
    <w:name w:val="page number"/>
    <w:basedOn w:val="DefaultParagraphFont"/>
    <w:uiPriority w:val="99"/>
    <w:semiHidden/>
    <w:unhideWhenUsed/>
    <w:qFormat/>
    <w:rsid w:val="0003374e"/>
    <w:rPr/>
  </w:style>
  <w:style w:type="character" w:styleId="WW8Num1z4" w:customStyle="1">
    <w:name w:val="WW8Num1z4"/>
    <w:qFormat/>
    <w:rsid w:val="00901774"/>
    <w:rPr/>
  </w:style>
  <w:style w:type="character" w:styleId="2" w:customStyle="1">
    <w:name w:val="Основной текст 2 Знак"/>
    <w:basedOn w:val="DefaultParagraphFont"/>
    <w:link w:val="2"/>
    <w:uiPriority w:val="99"/>
    <w:qFormat/>
    <w:rsid w:val="00901774"/>
    <w:rPr>
      <w:rFonts w:ascii="Times New Roman" w:hAnsi="Times New Roman" w:eastAsia="Times New Roman" w:cs="Times New Roman"/>
      <w:lang w:eastAsia="ru-RU"/>
    </w:rPr>
  </w:style>
  <w:style w:type="character" w:styleId="11" w:customStyle="1">
    <w:name w:val="Заголовок 1 Знак"/>
    <w:basedOn w:val="DefaultParagraphFont"/>
    <w:link w:val="10"/>
    <w:uiPriority w:val="9"/>
    <w:qFormat/>
    <w:rsid w:val="00ca0c2c"/>
    <w:rPr>
      <w:rFonts w:ascii="Times New Roman" w:hAnsi="Times New Roman" w:eastAsia="" w:cs="Times New Roman" w:eastAsiaTheme="minorEastAsia"/>
      <w:sz w:val="28"/>
      <w:szCs w:val="20"/>
      <w:lang w:eastAsia="ru-RU"/>
    </w:rPr>
  </w:style>
  <w:style w:type="character" w:styleId="Style15">
    <w:name w:val="Интернет-ссылка"/>
    <w:uiPriority w:val="99"/>
    <w:unhideWhenUsed/>
    <w:rsid w:val="00c2197c"/>
    <w:rPr>
      <w:color w:val="0563C1"/>
      <w:u w:val="single"/>
    </w:rPr>
  </w:style>
  <w:style w:type="character" w:styleId="ConsPlusNormal" w:customStyle="1">
    <w:name w:val="ConsPlusNormal Знак"/>
    <w:link w:val="ConsPlusNormal"/>
    <w:uiPriority w:val="99"/>
    <w:qFormat/>
    <w:locked/>
    <w:rsid w:val="00c2197c"/>
    <w:rPr>
      <w:rFonts w:ascii="Arial" w:hAnsi="Arial" w:eastAsia="Times New Roman" w:cs="Arial"/>
      <w:sz w:val="20"/>
      <w:szCs w:val="20"/>
      <w:lang w:eastAsia="zh-CN"/>
    </w:rPr>
  </w:style>
  <w:style w:type="character" w:styleId="Style16" w:customStyle="1">
    <w:name w:val="Текст выноски Знак"/>
    <w:basedOn w:val="DefaultParagraphFont"/>
    <w:link w:val="ae"/>
    <w:uiPriority w:val="99"/>
    <w:semiHidden/>
    <w:qFormat/>
    <w:rsid w:val="00105de3"/>
    <w:rPr>
      <w:rFonts w:ascii="Tahoma" w:hAnsi="Tahoma" w:eastAsia="Times New Roman" w:cs="Tahoma"/>
      <w:sz w:val="16"/>
      <w:szCs w:val="16"/>
      <w:lang w:eastAsia="ru-RU"/>
    </w:rPr>
  </w:style>
  <w:style w:type="character" w:styleId="31" w:customStyle="1">
    <w:name w:val="Заголовок 3 Знак"/>
    <w:basedOn w:val="DefaultParagraphFont"/>
    <w:link w:val="3"/>
    <w:uiPriority w:val="9"/>
    <w:semiHidden/>
    <w:qFormat/>
    <w:rsid w:val="00b14534"/>
    <w:rPr>
      <w:rFonts w:ascii="Calibri Light" w:hAnsi="Calibri Light" w:eastAsia="" w:cs="" w:asciiTheme="majorHAnsi" w:cstheme="majorBidi" w:eastAsiaTheme="majorEastAsia" w:hAnsiTheme="majorHAnsi"/>
      <w:b/>
      <w:bCs/>
      <w:color w:val="4472C4" w:themeColor="accent1"/>
      <w:lang w:eastAsia="ru-RU"/>
    </w:rPr>
  </w:style>
  <w:style w:type="character" w:styleId="41" w:customStyle="1">
    <w:name w:val="Заголовок 4 Знак"/>
    <w:basedOn w:val="DefaultParagraphFont"/>
    <w:link w:val="4"/>
    <w:uiPriority w:val="9"/>
    <w:semiHidden/>
    <w:qFormat/>
    <w:rsid w:val="00c85a08"/>
    <w:rPr>
      <w:rFonts w:ascii="Calibri Light" w:hAnsi="Calibri Light" w:eastAsia="" w:cs="" w:asciiTheme="majorHAnsi" w:cstheme="majorBidi" w:eastAsiaTheme="majorEastAsia" w:hAnsiTheme="majorHAnsi"/>
      <w:b/>
      <w:bCs/>
      <w:i/>
      <w:iCs/>
      <w:color w:val="4472C4" w:themeColor="accent1"/>
      <w:lang w:eastAsia="ru-RU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eastAsia="Times New Roman" w:cs="Times New Roman"/>
      <w:b w:val="false"/>
      <w:color w:val="000000"/>
    </w:rPr>
  </w:style>
  <w:style w:type="character" w:styleId="ListLabel38">
    <w:name w:val="ListLabel 38"/>
    <w:qFormat/>
    <w:rPr>
      <w:sz w:val="26"/>
      <w:szCs w:val="26"/>
    </w:rPr>
  </w:style>
  <w:style w:type="character" w:styleId="ListLabel39">
    <w:name w:val="ListLabel 39"/>
    <w:qFormat/>
    <w:rPr>
      <w:color w:val="3451A0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090886"/>
    <w:pPr>
      <w:spacing w:before="0" w:after="0"/>
      <w:ind w:left="720" w:hanging="0"/>
      <w:contextualSpacing/>
    </w:pPr>
    <w:rPr/>
  </w:style>
  <w:style w:type="paragraph" w:styleId="12" w:customStyle="1">
    <w:name w:val="Без интервала1"/>
    <w:qFormat/>
    <w:rsid w:val="0000240a"/>
    <w:pPr>
      <w:widowControl/>
      <w:suppressAutoHyphens w:val="true"/>
      <w:bidi w:val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2"/>
      <w:lang w:eastAsia="zh-CN" w:val="ru-RU" w:bidi="ar-SA"/>
    </w:rPr>
  </w:style>
  <w:style w:type="paragraph" w:styleId="ConsPlusNormal1" w:customStyle="1">
    <w:name w:val="ConsPlusNormal"/>
    <w:link w:val="ConsPlusNormal0"/>
    <w:uiPriority w:val="99"/>
    <w:qFormat/>
    <w:rsid w:val="00354979"/>
    <w:pPr>
      <w:widowControl/>
      <w:suppressAutoHyphens w:val="true"/>
      <w:bidi w:val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eastAsia="zh-CN" w:val="ru-RU" w:bidi="ar-SA"/>
    </w:rPr>
  </w:style>
  <w:style w:type="paragraph" w:styleId="S1" w:customStyle="1">
    <w:name w:val="s_1"/>
    <w:basedOn w:val="Normal"/>
    <w:qFormat/>
    <w:rsid w:val="00c762f7"/>
    <w:pPr>
      <w:spacing w:beforeAutospacing="1" w:afterAutospacing="1"/>
    </w:pPr>
    <w:rPr/>
  </w:style>
  <w:style w:type="paragraph" w:styleId="S16" w:customStyle="1">
    <w:name w:val="s_16"/>
    <w:basedOn w:val="Normal"/>
    <w:qFormat/>
    <w:rsid w:val="00c762f7"/>
    <w:pPr>
      <w:spacing w:beforeAutospacing="1" w:afterAutospacing="1"/>
    </w:pPr>
    <w:rPr/>
  </w:style>
  <w:style w:type="paragraph" w:styleId="Empty" w:customStyle="1">
    <w:name w:val="empty"/>
    <w:basedOn w:val="Normal"/>
    <w:qFormat/>
    <w:rsid w:val="00c762f7"/>
    <w:pPr>
      <w:spacing w:beforeAutospacing="1" w:afterAutospacing="1"/>
    </w:pPr>
    <w:rPr/>
  </w:style>
  <w:style w:type="paragraph" w:styleId="Style22">
    <w:name w:val="Footnote Text"/>
    <w:basedOn w:val="Normal"/>
    <w:link w:val="a6"/>
    <w:uiPriority w:val="99"/>
    <w:semiHidden/>
    <w:unhideWhenUsed/>
    <w:rsid w:val="00165f1f"/>
    <w:pPr/>
    <w:rPr>
      <w:sz w:val="20"/>
      <w:szCs w:val="20"/>
    </w:rPr>
  </w:style>
  <w:style w:type="paragraph" w:styleId="Style23">
    <w:name w:val="Header"/>
    <w:basedOn w:val="Normal"/>
    <w:link w:val="a9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4">
    <w:name w:val="Footer"/>
    <w:basedOn w:val="Normal"/>
    <w:link w:val="ab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BodyText2">
    <w:name w:val="Body Text 2"/>
    <w:basedOn w:val="Normal"/>
    <w:link w:val="20"/>
    <w:uiPriority w:val="99"/>
    <w:unhideWhenUsed/>
    <w:qFormat/>
    <w:rsid w:val="00901774"/>
    <w:pPr>
      <w:spacing w:lineRule="auto" w:line="480" w:before="0" w:after="120"/>
    </w:pPr>
    <w:rPr/>
  </w:style>
  <w:style w:type="paragraph" w:styleId="21" w:customStyle="1">
    <w:name w:val="Средняя сетка 21"/>
    <w:qFormat/>
    <w:rsid w:val="00fa4e52"/>
    <w:pPr>
      <w:widowControl/>
      <w:bidi w:val="0"/>
      <w:jc w:val="left"/>
    </w:pPr>
    <w:rPr>
      <w:rFonts w:ascii="Calibri" w:hAnsi="Calibri" w:eastAsia="Times New Roman" w:cs="Times New Roman" w:asciiTheme="minorHAnsi" w:hAnsiTheme="minorHAnsi"/>
      <w:color w:val="auto"/>
      <w:kern w:val="0"/>
      <w:sz w:val="22"/>
      <w:szCs w:val="22"/>
      <w:lang w:eastAsia="ru-RU" w:val="ru-RU" w:bidi="ar-SA"/>
    </w:rPr>
  </w:style>
  <w:style w:type="paragraph" w:styleId="Style25" w:customStyle="1">
    <w:name w:val="Заговок главы Знак"/>
    <w:basedOn w:val="Normal"/>
    <w:qFormat/>
    <w:rsid w:val="00ca0c2c"/>
    <w:pPr>
      <w:jc w:val="center"/>
    </w:pPr>
    <w:rPr>
      <w:rFonts w:eastAsia="" w:eastAsiaTheme="minorEastAsia"/>
      <w:b/>
      <w:bCs/>
      <w:sz w:val="28"/>
      <w:szCs w:val="28"/>
    </w:rPr>
  </w:style>
  <w:style w:type="paragraph" w:styleId="13" w:customStyle="1">
    <w:name w:val="Текст пункта Знак Знак1 Знак Знак Знак Знак Знак"/>
    <w:basedOn w:val="Normal"/>
    <w:qFormat/>
    <w:rsid w:val="00ca0c2c"/>
    <w:pPr>
      <w:tabs>
        <w:tab w:val="clear" w:pos="708"/>
        <w:tab w:val="left" w:pos="3279" w:leader="none"/>
      </w:tabs>
      <w:spacing w:lineRule="auto" w:line="360"/>
      <w:jc w:val="both"/>
    </w:pPr>
    <w:rPr>
      <w:rFonts w:eastAsia="" w:eastAsiaTheme="minorEastAsia"/>
      <w:sz w:val="28"/>
      <w:szCs w:val="28"/>
    </w:rPr>
  </w:style>
  <w:style w:type="paragraph" w:styleId="ConsNormal" w:customStyle="1">
    <w:name w:val="ConsNormal"/>
    <w:qFormat/>
    <w:rsid w:val="00c2197c"/>
    <w:pPr>
      <w:widowControl w:val="false"/>
      <w:bidi w:val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eastAsia="ru-RU" w:val="ru-RU" w:bidi="ar-SA"/>
    </w:rPr>
  </w:style>
  <w:style w:type="paragraph" w:styleId="BalloonText">
    <w:name w:val="Balloon Text"/>
    <w:basedOn w:val="Normal"/>
    <w:link w:val="af"/>
    <w:uiPriority w:val="99"/>
    <w:semiHidden/>
    <w:unhideWhenUsed/>
    <w:qFormat/>
    <w:rsid w:val="00105de3"/>
    <w:pPr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151ed4"/>
    <w:pPr>
      <w:spacing w:beforeAutospacing="1" w:afterAutospacing="1"/>
    </w:pPr>
    <w:rPr/>
  </w:style>
  <w:style w:type="paragraph" w:styleId="Headertext" w:customStyle="1">
    <w:name w:val="headertext"/>
    <w:basedOn w:val="Normal"/>
    <w:qFormat/>
    <w:rsid w:val="00c85a08"/>
    <w:pPr>
      <w:spacing w:beforeAutospacing="1" w:afterAutospacing="1"/>
    </w:pPr>
    <w:rPr/>
  </w:style>
  <w:style w:type="paragraph" w:styleId="Formattext" w:customStyle="1">
    <w:name w:val="formattext"/>
    <w:basedOn w:val="Normal"/>
    <w:qFormat/>
    <w:rsid w:val="00c85a08"/>
    <w:pPr>
      <w:spacing w:beforeAutospacing="1" w:afterAutospacing="1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ref=157DFB6FAD16A2391BCF1353EBE7F5A3F17368B2DAAF76121219863547B348930F0CBA6232C70DADACA7B6275AD51CA948EAA53075D607B6I2X4H" TargetMode="External"/><Relationship Id="rId4" Type="http://schemas.openxmlformats.org/officeDocument/2006/relationships/hyperlink" Target="consultantplus://offline/ref=157DFB6FAD16A2391BCF1353EBE7F5A3F17368B2DAAF76121219863547B348930F0CBA6A36CC58FBE1F9EF741A9E11A852F6A531I6XBH" TargetMode="External"/><Relationship Id="rId5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6" Type="http://schemas.openxmlformats.org/officeDocument/2006/relationships/header" Target="header1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Application>LibreOffice/6.1.4.2$Windows_X86_64 LibreOffice_project/9d0f32d1f0b509096fd65e0d4bec26ddd1938fd3</Application>
  <Pages>8</Pages>
  <Words>1617</Words>
  <Characters>9589</Characters>
  <CharactersWithSpaces>11145</CharactersWithSpaces>
  <Paragraphs>365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2021-12-15T12:22:00Z</dcterms:created>
  <dc:creator>Дмитрий Славецкий</dc:creator>
  <dc:description/>
  <dc:language>ru-RU</dc:language>
  <cp:lastModifiedBy/>
  <cp:lastPrinted>2023-06-02T10:05:11Z</cp:lastPrinted>
  <dcterms:modified xsi:type="dcterms:W3CDTF">2023-06-02T10:17:18Z</dcterms:modified>
  <cp:revision>44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