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suppressAutoHyphens w:val="true"/>
        <w:spacing w:lineRule="auto" w:line="360"/>
        <w:rPr/>
      </w:pPr>
      <w:r>
        <w:rPr/>
        <w:t xml:space="preserve">                                                                         </w:t>
      </w:r>
      <w:r>
        <w:rPr/>
        <w:drawing>
          <wp:inline distT="0" distB="0" distL="0" distR="0">
            <wp:extent cx="629285" cy="79121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</w:t>
      </w:r>
    </w:p>
    <w:p>
      <w:pPr>
        <w:pStyle w:val="Normal"/>
        <w:keepNext w:val="true"/>
        <w:suppressAutoHyphens w:val="true"/>
        <w:spacing w:lineRule="auto" w:line="360"/>
        <w:rPr/>
      </w:pPr>
      <w:r>
        <w:rPr/>
        <w:t xml:space="preserve">                                                            </w:t>
      </w:r>
      <w:r>
        <w:rPr/>
        <w:t xml:space="preserve">Российская Федерация                                               </w:t>
      </w:r>
    </w:p>
    <w:p>
      <w:pPr>
        <w:pStyle w:val="Normal"/>
        <w:keepNext w:val="true"/>
        <w:suppressAutoHyphens w:val="true"/>
        <w:spacing w:lineRule="auto" w:line="360"/>
        <w:ind w:right="-286" w:hanging="0"/>
        <w:rPr/>
      </w:pPr>
      <w:r>
        <w:rPr/>
        <w:t xml:space="preserve">                                                             </w:t>
      </w:r>
      <w:r>
        <w:rPr/>
        <w:t xml:space="preserve">АДМИНИСТРАЦИЯ </w:t>
      </w:r>
    </w:p>
    <w:p>
      <w:pPr>
        <w:pStyle w:val="Normal"/>
        <w:keepNext w:val="true"/>
        <w:suppressAutoHyphens w:val="true"/>
        <w:spacing w:lineRule="auto" w:line="360"/>
        <w:ind w:right="-286" w:hanging="0"/>
        <w:rPr/>
      </w:pPr>
      <w:r>
        <w:rPr/>
        <w:t xml:space="preserve">                                 </w:t>
      </w:r>
      <w:r>
        <w:rPr/>
        <w:t>СЕЛЬСКОГО ПОСЕЛЕНИЯ ВЕРХНЕЕ САНЧЕЛЕЕВО</w:t>
      </w:r>
    </w:p>
    <w:p>
      <w:pPr>
        <w:pStyle w:val="Normal"/>
        <w:keepNext w:val="true"/>
        <w:suppressAutoHyphens w:val="true"/>
        <w:spacing w:lineRule="auto" w:line="360"/>
        <w:ind w:right="-286" w:hanging="0"/>
        <w:rPr/>
      </w:pPr>
      <w:r>
        <w:rPr/>
        <w:t xml:space="preserve">                                  </w:t>
      </w:r>
      <w:r>
        <w:rPr/>
        <w:t>МУНИЦИПАЛЬНОГО РАЙОНАСТАВРОПОЛЬСКИЙ</w:t>
      </w:r>
    </w:p>
    <w:p>
      <w:pPr>
        <w:pStyle w:val="Normal"/>
        <w:keepNext w:val="true"/>
        <w:suppressAutoHyphens w:val="true"/>
        <w:spacing w:lineRule="auto" w:line="360"/>
        <w:jc w:val="center"/>
        <w:rPr/>
      </w:pPr>
      <w:r>
        <w:rPr/>
        <w:t>САМАРСКОЙ ОБЛАСТИ</w:t>
      </w:r>
    </w:p>
    <w:p>
      <w:pPr>
        <w:pStyle w:val="Normal"/>
        <w:keepNext w:val="true"/>
        <w:suppressAutoHyphens w:val="true"/>
        <w:spacing w:lineRule="auto" w:line="360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keepNext w:val="true"/>
        <w:suppressAutoHyphens w:val="true"/>
        <w:spacing w:lineRule="auto" w:line="360"/>
        <w:jc w:val="center"/>
        <w:rPr/>
      </w:pPr>
      <w:r>
        <w:rPr>
          <w:b/>
          <w:sz w:val="28"/>
          <w:szCs w:val="28"/>
        </w:rPr>
        <w:t xml:space="preserve">ПОСТАНОВЛЕНИЕ </w:t>
      </w:r>
    </w:p>
    <w:p>
      <w:pPr>
        <w:pStyle w:val="Normal"/>
        <w:keepNext w:val="true"/>
        <w:suppressAutoHyphens w:val="true"/>
        <w:spacing w:lineRule="auto" w:line="360"/>
        <w:jc w:val="center"/>
        <w:rPr/>
      </w:pPr>
      <w:r>
        <w:rPr/>
        <w:t xml:space="preserve">от </w:t>
      </w:r>
      <w:r>
        <w:rPr/>
        <w:t xml:space="preserve">21 ноября </w:t>
      </w:r>
      <w:r>
        <w:rPr/>
        <w:t xml:space="preserve">2022 г.                                                                                                                   </w:t>
      </w:r>
      <w:r>
        <w:rPr/>
        <w:t>№ 56</w:t>
      </w:r>
    </w:p>
    <w:p>
      <w:pPr>
        <w:pStyle w:val="Normal"/>
        <w:keepNext w:val="true"/>
        <w:suppressAutoHyphens w:val="true"/>
        <w:jc w:val="center"/>
        <w:rPr>
          <w:b/>
          <w:b/>
          <w:sz w:val="28"/>
          <w:szCs w:val="28"/>
          <w:lang w:eastAsia="ar-SA"/>
        </w:rPr>
      </w:pPr>
      <w:r>
        <w:rPr>
          <w:b/>
          <w:color w:val="000000"/>
          <w:sz w:val="28"/>
          <w:szCs w:val="28"/>
        </w:rPr>
        <w:t xml:space="preserve">Об утверждении </w:t>
      </w:r>
      <w:r>
        <w:rPr>
          <w:b/>
          <w:sz w:val="28"/>
          <w:szCs w:val="28"/>
          <w:lang w:eastAsia="ar-SA"/>
        </w:rPr>
        <w:t xml:space="preserve">Порядка разработки, реализации и оценки эффективности муниципальных программ </w:t>
      </w:r>
    </w:p>
    <w:p>
      <w:pPr>
        <w:pStyle w:val="Normal"/>
        <w:keepNext w:val="true"/>
        <w:suppressAutoHyphens w:val="true"/>
        <w:jc w:val="center"/>
        <w:rPr>
          <w:b/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сельского поселения Верхнее Санчелеево муниципального района Ставропольский Самарской области</w:t>
      </w:r>
    </w:p>
    <w:p>
      <w:pPr>
        <w:pStyle w:val="Normal"/>
        <w:keepNext w:val="true"/>
        <w:jc w:val="both"/>
        <w:rPr>
          <w:b/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</w:r>
    </w:p>
    <w:p>
      <w:pPr>
        <w:pStyle w:val="Normal"/>
        <w:keepNext w:val="true"/>
        <w:jc w:val="both"/>
        <w:rPr/>
      </w:pPr>
      <w:r>
        <w:rPr>
          <w:b/>
          <w:sz w:val="28"/>
          <w:szCs w:val="28"/>
          <w:lang w:eastAsia="ar-SA"/>
        </w:rPr>
        <w:t xml:space="preserve">   </w:t>
      </w:r>
      <w:r>
        <w:rPr>
          <w:sz w:val="28"/>
          <w:szCs w:val="28"/>
        </w:rPr>
        <w:t xml:space="preserve">В соответствии со статьей 179 Бюджетного кодекса Российской Федерации, руководствуясь </w:t>
      </w:r>
      <w:r>
        <w:rPr>
          <w:color w:val="000000"/>
          <w:sz w:val="28"/>
          <w:szCs w:val="28"/>
        </w:rPr>
        <w:t xml:space="preserve">пунктом  3 части 4 статьи 36 Федерального закона </w:t>
      </w:r>
      <w:r>
        <w:rPr>
          <w:sz w:val="28"/>
          <w:szCs w:val="28"/>
        </w:rPr>
        <w:t>от 06.10.2003 № 131-ФЗ</w:t>
      </w:r>
      <w:r>
        <w:rPr>
          <w:color w:val="000000"/>
          <w:sz w:val="28"/>
          <w:szCs w:val="28"/>
        </w:rPr>
        <w:t xml:space="preserve"> «</w:t>
      </w:r>
      <w:r>
        <w:rPr>
          <w:sz w:val="28"/>
          <w:szCs w:val="28"/>
        </w:rPr>
        <w:t>Об общих принципах организации местного самоуправления в Российской Федерации», Уставом сельского поселения Верхнее Санчелеево  муниципального района Ставропольский Самарской области, принятого Решением Собрания Представителей сельского поселения Верхнее Санчелеево муниципального района Ставропольский Самарской области  от 10.09.2019 № 180, администрация сельского поселения Верхнее Санчелеево муниципального  района Ставропольский Самарской области</w:t>
      </w:r>
    </w:p>
    <w:p>
      <w:pPr>
        <w:pStyle w:val="Normal"/>
        <w:keepNext w:val="true"/>
        <w:jc w:val="center"/>
        <w:rPr>
          <w:rFonts w:eastAsia="Times New Roman CYR" w:cs="Times New Roman CYR"/>
          <w:sz w:val="28"/>
          <w:szCs w:val="28"/>
        </w:rPr>
      </w:pPr>
      <w:r>
        <w:rPr>
          <w:sz w:val="28"/>
          <w:szCs w:val="28"/>
        </w:rPr>
        <w:t>ПОСТАНОВЛЯЕТ</w:t>
      </w:r>
      <w:r>
        <w:rPr>
          <w:rFonts w:eastAsia="Times New Roman CYR" w:cs="Times New Roman CYR"/>
          <w:sz w:val="28"/>
          <w:szCs w:val="28"/>
        </w:rPr>
        <w:t>:</w:t>
      </w:r>
    </w:p>
    <w:p>
      <w:pPr>
        <w:pStyle w:val="Normal"/>
        <w:keepNext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1.</w:t>
      </w:r>
      <w:r>
        <w:rPr>
          <w:color w:val="000000"/>
          <w:sz w:val="28"/>
          <w:szCs w:val="28"/>
        </w:rPr>
        <w:t>Утвердить Порядок</w:t>
      </w:r>
      <w:r>
        <w:rPr>
          <w:sz w:val="28"/>
          <w:szCs w:val="28"/>
          <w:lang w:eastAsia="ar-SA"/>
        </w:rPr>
        <w:t xml:space="preserve"> разработки, реализации и оценки эффективности муниципальных программ сельского поселения Верхнее Санчелеево муниципального района Ставропольский Самарской области</w:t>
      </w:r>
      <w:r>
        <w:rPr>
          <w:sz w:val="28"/>
          <w:szCs w:val="28"/>
        </w:rPr>
        <w:t xml:space="preserve"> согласно приложению, к настоящему постановлению.</w:t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2. Постановление администрации сельского поселения Верхнее Санчелеево муниципального района Ставропольский Самарской области от  21.12.2012г.     №  26 «Об утверждении положения «О порядке разработки и реализации муниципальных долгосрочных целевых программ сельского поселения Верхнее Санчелеево муниципального района Ставропольский Самарской области» и    Постановление администрации сельского поселения Верхнее Санчелеево муниципального района Ставропольский Самарской области от 15.06</w:t>
      </w:r>
      <w:bookmarkStart w:id="0" w:name="_GoBack"/>
      <w:bookmarkEnd w:id="0"/>
      <w:r>
        <w:rPr>
          <w:sz w:val="28"/>
          <w:szCs w:val="28"/>
        </w:rPr>
        <w:t>.2015 г.        № 13 «Об утверждении Порядка проведения и критерии эффективности реализации муниципальных программ сельского поселения Верхнее Санчелеево муниципального района Ставропольский Самарской области» признать утратившими силу.</w:t>
      </w:r>
    </w:p>
    <w:p>
      <w:pPr>
        <w:pStyle w:val="Normal"/>
        <w:shd w:val="clear" w:color="auto" w:fill="FFFFFF"/>
        <w:jc w:val="both"/>
        <w:rPr/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3. Постановление подлежит официальному опубликованию в газете «Верхнесанчелеевский Вестник» и на официальном сайте поселения на официальном сайте администрации сельского поселения Верхнее Санчелеево в сети Интернет </w:t>
      </w:r>
      <w:r>
        <w:rPr>
          <w:sz w:val="28"/>
          <w:szCs w:val="28"/>
          <w:u w:val="single"/>
        </w:rPr>
        <w:t>http://v.sancheleevo.stavrsp.ru/.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rStyle w:val="Style17"/>
          <w:b w:val="false"/>
          <w:sz w:val="28"/>
          <w:szCs w:val="28"/>
        </w:rPr>
        <w:t xml:space="preserve">4.  </w:t>
      </w: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>
      <w:pPr>
        <w:pStyle w:val="Normal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</w:t>
      </w:r>
    </w:p>
    <w:p>
      <w:pPr>
        <w:pStyle w:val="Normal"/>
        <w:spacing w:before="0" w:after="0"/>
        <w:contextualSpacing/>
        <w:jc w:val="both"/>
        <w:rPr/>
      </w:pPr>
      <w:r>
        <w:rPr>
          <w:sz w:val="28"/>
          <w:szCs w:val="28"/>
        </w:rPr>
        <w:t>Верхнее Санчелеево                                                              П.В. Чапарин</w:t>
      </w:r>
    </w:p>
    <w:p>
      <w:pPr>
        <w:pStyle w:val="Normal"/>
        <w:keepNext w:val="true"/>
        <w:suppressAutoHyphens w:val="true"/>
        <w:spacing w:lineRule="auto" w:line="276"/>
        <w:jc w:val="both"/>
        <w:rPr/>
      </w:pPr>
      <w:r>
        <w:rPr/>
      </w:r>
    </w:p>
    <w:p>
      <w:pPr>
        <w:pStyle w:val="Normal"/>
        <w:keepNext w:val="true"/>
        <w:ind w:firstLine="467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>
      <w:pPr>
        <w:pStyle w:val="Normal"/>
        <w:keepNext w:val="true"/>
        <w:ind w:firstLine="467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Приложение</w:t>
      </w:r>
    </w:p>
    <w:p>
      <w:pPr>
        <w:pStyle w:val="Normal"/>
        <w:keepNext w:val="true"/>
        <w:ind w:firstLine="4678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>
      <w:pPr>
        <w:pStyle w:val="Normal"/>
        <w:keepNext w:val="true"/>
        <w:ind w:firstLine="4678"/>
        <w:jc w:val="right"/>
        <w:rPr>
          <w:sz w:val="28"/>
          <w:szCs w:val="28"/>
        </w:rPr>
      </w:pPr>
      <w:r>
        <w:rPr>
          <w:sz w:val="28"/>
          <w:szCs w:val="28"/>
        </w:rPr>
        <w:t>сельского поселения Верхнее Санчелеево</w:t>
      </w:r>
    </w:p>
    <w:p>
      <w:pPr>
        <w:pStyle w:val="Normal"/>
        <w:keepNext w:val="true"/>
        <w:ind w:firstLine="467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Ставропольский </w:t>
      </w:r>
    </w:p>
    <w:p>
      <w:pPr>
        <w:pStyle w:val="Normal"/>
        <w:keepNext w:val="true"/>
        <w:ind w:firstLine="4678"/>
        <w:jc w:val="right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>
      <w:pPr>
        <w:pStyle w:val="Normal"/>
        <w:keepNext w:val="true"/>
        <w:ind w:firstLine="4678"/>
        <w:jc w:val="right"/>
        <w:rPr/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21.11.</w:t>
      </w:r>
      <w:r>
        <w:rPr>
          <w:sz w:val="28"/>
          <w:szCs w:val="28"/>
        </w:rPr>
        <w:t>2022 г. №</w:t>
      </w:r>
      <w:r>
        <w:rPr>
          <w:sz w:val="28"/>
          <w:szCs w:val="28"/>
        </w:rPr>
        <w:t>56</w:t>
      </w:r>
    </w:p>
    <w:p>
      <w:pPr>
        <w:pStyle w:val="Normal"/>
        <w:keepNext w:val="true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keepNext w:val="true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keepNext w:val="true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>
      <w:pPr>
        <w:pStyle w:val="Normal"/>
        <w:keepNext w:val="true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разработки, реализации и оценки эффективности муниципальных программ сельского поселения Верхнее Санчелеево муниципального района Ставропольский Самарской области</w:t>
      </w:r>
      <w:bookmarkStart w:id="1" w:name="_Toc366766654"/>
      <w:bookmarkEnd w:id="1"/>
    </w:p>
    <w:p>
      <w:pPr>
        <w:pStyle w:val="Normal"/>
        <w:keepNext w:val="true"/>
        <w:ind w:firstLine="1843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numPr>
          <w:ilvl w:val="0"/>
          <w:numId w:val="1"/>
        </w:numPr>
        <w:ind w:left="0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680"/>
        <w:jc w:val="both"/>
        <w:rPr/>
      </w:pPr>
      <w:r>
        <w:rPr>
          <w:sz w:val="28"/>
          <w:szCs w:val="28"/>
        </w:rPr>
        <w:t xml:space="preserve">Порядок разработки, реализации и оценки эффективности муниципальных программ сельского поселения Верхнее Санчелеево  муниципального района Ставропольский Самарской области (далее Порядок) разработан администрацией сельского поселения Верхнее Санчелеево  муниципального района Ставропольский Самарской области в соответствии с пунктом 3 части 4 статьи 36 Федерального закона от 06.10.2003 № 131-ФЗ «Об общих принципах организации местного самоуправления в Российской Федерации», статьей 179 Бюджетного кодекса Российской Федерации, пунктом 3 статьи 43 Устава сельского поселения Верхнее Санчелеево  муниципального района Ставропольский Самарской области, принятого Собранием Представителей сельского поселения Верхнее Санчелеево муниципального района Ставропольский Самарской области от 10.09.2019 №180, в целях обеспечения эффективной организации процесса разработки и реализации муниципальных программ сельского поселения Верхнее Санчелеево  муниципального района Ставропольский Самарской области. </w:t>
      </w:r>
    </w:p>
    <w:p>
      <w:pPr>
        <w:pStyle w:val="Normal"/>
        <w:keepNext w:val="true"/>
        <w:numPr>
          <w:ilvl w:val="1"/>
          <w:numId w:val="2"/>
        </w:numPr>
        <w:tabs>
          <w:tab w:val="clear" w:pos="708"/>
          <w:tab w:val="left" w:pos="1701" w:leader="none"/>
        </w:tabs>
        <w:ind w:left="0" w:firstLine="1134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Настоящий Порядок определяет правила разработки, реализации и оценки эффективности</w:t>
      </w:r>
      <w:r>
        <w:rPr>
          <w:sz w:val="28"/>
          <w:szCs w:val="28"/>
        </w:rPr>
        <w:t xml:space="preserve"> муниципальных программ сельского поселения Верхнее Санчелеево муниципального района Ставропольский Самарской области</w:t>
      </w:r>
      <w:r>
        <w:rPr>
          <w:rFonts w:eastAsia="Calibri"/>
          <w:sz w:val="28"/>
          <w:szCs w:val="28"/>
        </w:rPr>
        <w:t xml:space="preserve">, а также контроль над его исполнением. </w:t>
      </w:r>
    </w:p>
    <w:p>
      <w:pPr>
        <w:pStyle w:val="Normal"/>
        <w:keepNext w:val="true"/>
        <w:numPr>
          <w:ilvl w:val="1"/>
          <w:numId w:val="2"/>
        </w:numPr>
        <w:tabs>
          <w:tab w:val="clear" w:pos="708"/>
          <w:tab w:val="left" w:pos="1701" w:leader="none"/>
        </w:tabs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понятия, используемые в настоящем Порядке: </w:t>
      </w:r>
    </w:p>
    <w:p>
      <w:pPr>
        <w:pStyle w:val="Default"/>
        <w:keepNext w:val="true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</w:t>
      </w:r>
      <w:r>
        <w:rPr>
          <w:color w:val="auto"/>
          <w:sz w:val="28"/>
          <w:szCs w:val="28"/>
        </w:rPr>
        <w:t xml:space="preserve">муниципальная программа сельского поселения Верхнее Санчелеево          муниципального района Ставропольский Самарской области - </w:t>
      </w:r>
      <w:r>
        <w:rPr>
          <w:color w:val="auto"/>
          <w:sz w:val="28"/>
          <w:szCs w:val="28"/>
          <w:shd w:fill="FFFFFF" w:val="clear"/>
        </w:rPr>
        <w:t xml:space="preserve">документ, представляющий собой комплекс взаимоувязанных по задачам, срокам и ресурсам мероприятий и инструментов, реализуемых в целях достижения целей и задач социально-экономического </w:t>
      </w:r>
      <w:r>
        <w:rPr>
          <w:color w:val="auto"/>
          <w:sz w:val="28"/>
          <w:szCs w:val="28"/>
        </w:rPr>
        <w:t>развития сельского поселения Верхнее Санчелеево муниципального района Ставропольский Самарской области (далее - муниципальная программа);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подпрограмма муниципальной программы (далее - подпрограмма) - комплекс взаимоувязанных по целям, срокам и ресурсам мероприятий, выделенных исходя из масштаба и сложности задач, решаемых в рамках муниципальной программы;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цель муниципальной программы - планируемый конечный результат решения проблемы социально-экономического развития сельского поселения Верхнее Санчелеево муниципального района Ставропольский Самарской области посредством реализации муниципальной программы, достижимый за период ее реализации;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задача муниципальной программы - результат выполнения совокупности взаимосвязанных мероприятий, направленных на достижение цели (целей) муниципальной программы; задачи муниципальной программы должны соответствовать целям входящих в ее состав подпрограмм и иных программ;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мероприятие - совокупность взаимосвязанных действий, направленных на решение соответствующей задачи;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показатель (индикатор) - количественно выраженная характеристика решения задачи, выполнения мероприятия;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исполнитель муниципальной программы (далее – ответственный исполнитель) - специалист администрации, ответственный за разработку и организацию работы по реализации муниципальной программы в целом и обладающие полномочиями, установленными настоящим Порядком;</w:t>
      </w:r>
    </w:p>
    <w:p>
      <w:pPr>
        <w:pStyle w:val="Default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индикаторы муниципальной программы - количественные и/или качественные показатели, характеризующие достижение целей и решение задач муниципальной программы (подпрограммы).</w:t>
      </w:r>
    </w:p>
    <w:p>
      <w:pPr>
        <w:pStyle w:val="Normal"/>
        <w:keepNext w:val="true"/>
        <w:numPr>
          <w:ilvl w:val="1"/>
          <w:numId w:val="2"/>
        </w:numPr>
        <w:tabs>
          <w:tab w:val="clear" w:pos="708"/>
          <w:tab w:val="left" w:pos="1701" w:leader="none"/>
        </w:tabs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Исходя из масштабности и сложности решаемых задач, муниципальная программа может быть разделена на подпрограммы. Мероприятия подпрограмм в обязательном порядке должны быть увязаны с запланированными результатами подпрограммы. 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keepNext w:val="true"/>
        <w:numPr>
          <w:ilvl w:val="0"/>
          <w:numId w:val="2"/>
        </w:numPr>
        <w:ind w:left="0" w:firstLine="1134"/>
        <w:jc w:val="center"/>
        <w:rPr>
          <w:b/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>Разработка муниципальных программ</w:t>
      </w:r>
    </w:p>
    <w:p>
      <w:pPr>
        <w:pStyle w:val="Default"/>
        <w:keepNext w:val="true"/>
        <w:ind w:firstLine="1134"/>
        <w:jc w:val="both"/>
        <w:rPr>
          <w:b/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</w:r>
    </w:p>
    <w:p>
      <w:pPr>
        <w:pStyle w:val="ListParagraph"/>
        <w:keepNext w:val="true"/>
        <w:numPr>
          <w:ilvl w:val="1"/>
          <w:numId w:val="2"/>
        </w:numPr>
        <w:tabs>
          <w:tab w:val="clear" w:pos="708"/>
          <w:tab w:val="left" w:pos="1701" w:leader="none"/>
        </w:tabs>
        <w:ind w:left="0" w:firstLine="1135"/>
        <w:jc w:val="both"/>
        <w:rPr>
          <w:b/>
          <w:b/>
          <w:bCs/>
          <w:sz w:val="28"/>
          <w:szCs w:val="28"/>
        </w:rPr>
      </w:pPr>
      <w:r>
        <w:rPr>
          <w:sz w:val="28"/>
          <w:szCs w:val="28"/>
        </w:rPr>
        <w:t>Основанием для разработки муниципальной программы является поручение Главы сельского поселения Верхнее Санчелеево</w:t>
      </w:r>
      <w:r>
        <w:rPr>
          <w:color w:val="C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ответственному исполнителю муниципальной программы обеспечить разработку муниципальной программы. </w:t>
      </w:r>
    </w:p>
    <w:p>
      <w:pPr>
        <w:pStyle w:val="Normal"/>
        <w:keepNext w:val="true"/>
        <w:numPr>
          <w:ilvl w:val="1"/>
          <w:numId w:val="2"/>
        </w:numPr>
        <w:tabs>
          <w:tab w:val="clear" w:pos="708"/>
          <w:tab w:val="left" w:pos="1701" w:leader="none"/>
        </w:tabs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проекта и утверждение муниципальной программы включают следующие основные этапы:</w:t>
      </w:r>
    </w:p>
    <w:p>
      <w:pPr>
        <w:pStyle w:val="ListParagraph"/>
        <w:keepNext w:val="true"/>
        <w:numPr>
          <w:ilvl w:val="0"/>
          <w:numId w:val="7"/>
        </w:numPr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инициативного предложения о решении проблем и достижении целей программным методом; </w:t>
      </w:r>
    </w:p>
    <w:p>
      <w:pPr>
        <w:pStyle w:val="ListParagraph"/>
        <w:keepNext w:val="true"/>
        <w:numPr>
          <w:ilvl w:val="0"/>
          <w:numId w:val="7"/>
        </w:numPr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разработка проекта муниципальной программы; </w:t>
      </w:r>
    </w:p>
    <w:p>
      <w:pPr>
        <w:pStyle w:val="ListParagraph"/>
        <w:keepNext w:val="true"/>
        <w:numPr>
          <w:ilvl w:val="0"/>
          <w:numId w:val="7"/>
        </w:numPr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согласование проекта муниципальной программы; </w:t>
      </w:r>
    </w:p>
    <w:p>
      <w:pPr>
        <w:pStyle w:val="ListParagraph"/>
        <w:keepNext w:val="true"/>
        <w:numPr>
          <w:ilvl w:val="0"/>
          <w:numId w:val="7"/>
        </w:numPr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доработка проекта муниципальной программы (при наличии замечаний); </w:t>
      </w:r>
    </w:p>
    <w:p>
      <w:pPr>
        <w:pStyle w:val="ListParagraph"/>
        <w:keepNext w:val="true"/>
        <w:numPr>
          <w:ilvl w:val="0"/>
          <w:numId w:val="7"/>
        </w:numPr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утверждение муниципальной программы постановлением администрации сельского поселения Верхнее Санчелеево муниципального района Ставропольский Самарской области. </w:t>
      </w:r>
    </w:p>
    <w:p>
      <w:pPr>
        <w:pStyle w:val="ConsPlusTitle"/>
        <w:keepNext w:val="true"/>
        <w:ind w:firstLine="1134"/>
        <w:jc w:val="both"/>
        <w:rPr>
          <w:rFonts w:ascii="Times New Roman" w:hAnsi="Times New Roman" w:cs="Times New Roman"/>
          <w:b w:val="false"/>
          <w:b w:val="false"/>
          <w:color w:val="C00000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Ответственный исполнитель муниципальной программы разрабатывает проект муниципальной программы и размещает его на официальном сайте администрации сельского поселения Верхнее Санчелеево</w:t>
      </w:r>
      <w:r>
        <w:rPr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sz w:val="28"/>
          <w:szCs w:val="28"/>
        </w:rPr>
        <w:t xml:space="preserve">муниципального района Ставропольский Самарской области в сети Интернет для проведения общественного обсуждения. </w:t>
      </w:r>
    </w:p>
    <w:p>
      <w:pPr>
        <w:pStyle w:val="ConsPlusNormal"/>
        <w:keepNext w:val="true"/>
        <w:widowControl w:val="false"/>
        <w:numPr>
          <w:ilvl w:val="1"/>
          <w:numId w:val="2"/>
        </w:numPr>
        <w:tabs>
          <w:tab w:val="clear" w:pos="708"/>
          <w:tab w:val="left" w:pos="0" w:leader="none"/>
          <w:tab w:val="left" w:pos="1843" w:leader="none"/>
        </w:tabs>
        <w:ind w:left="0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Муниципальная программа утверждается нормативно-правовым актом администрации сельского поселения Верхнее Санчелеево</w:t>
      </w:r>
      <w:r>
        <w:rPr>
          <w:sz w:val="28"/>
          <w:szCs w:val="28"/>
        </w:rPr>
        <w:t xml:space="preserve"> муниципального</w:t>
      </w:r>
      <w:r>
        <w:rPr>
          <w:rFonts w:cs="Times New Roman" w:ascii="Times New Roman" w:hAnsi="Times New Roman"/>
          <w:sz w:val="28"/>
          <w:szCs w:val="28"/>
        </w:rPr>
        <w:t xml:space="preserve"> района Ставропольский Самарской области.</w:t>
      </w:r>
    </w:p>
    <w:p>
      <w:pPr>
        <w:pStyle w:val="BlockQuotation"/>
        <w:keepNext w:val="true"/>
        <w:tabs>
          <w:tab w:val="clear" w:pos="708"/>
          <w:tab w:val="left" w:pos="-426" w:leader="none"/>
        </w:tabs>
        <w:ind w:left="0" w:right="-58" w:firstLine="1135"/>
        <w:rPr>
          <w:bCs/>
        </w:rPr>
      </w:pPr>
      <w:r>
        <w:rPr/>
        <w:t xml:space="preserve">Утвержденная муниципальная программа подлежит обязательному опубликованию </w:t>
      </w:r>
      <w:r>
        <w:rPr>
          <w:bCs/>
        </w:rPr>
        <w:t xml:space="preserve">на официальном сайте администрации </w:t>
      </w:r>
      <w:r>
        <w:rPr/>
        <w:t>сельского поселения Верхнее Санчелеево муниципального</w:t>
      </w:r>
      <w:r>
        <w:rPr>
          <w:bCs/>
        </w:rPr>
        <w:t xml:space="preserve"> района Ставропольский Самарской области в сети Интернет, в разделе «Муниципальные программы» в течение 5 рабочих дней с даты её регистрации. </w:t>
      </w:r>
    </w:p>
    <w:p>
      <w:pPr>
        <w:pStyle w:val="BlockQuotation"/>
        <w:keepNext w:val="true"/>
        <w:numPr>
          <w:ilvl w:val="1"/>
          <w:numId w:val="2"/>
        </w:numPr>
        <w:tabs>
          <w:tab w:val="clear" w:pos="708"/>
          <w:tab w:val="left" w:pos="-426" w:leader="none"/>
          <w:tab w:val="left" w:pos="1843" w:leader="none"/>
        </w:tabs>
        <w:ind w:left="0" w:right="-58" w:firstLine="1135"/>
        <w:rPr/>
      </w:pPr>
      <w:r>
        <w:rPr/>
        <w:t xml:space="preserve">В случае если в текущем году истекает срок действия муниципальной программы, то при необходимости дальнейшей реализации муниципальной программы, ответственным исполнителем муниципальной программы может быть принято решение о разработке муниципальной программы на новый период. </w:t>
      </w:r>
    </w:p>
    <w:p>
      <w:pPr>
        <w:pStyle w:val="BlockQuotation"/>
        <w:keepNext w:val="true"/>
        <w:numPr>
          <w:ilvl w:val="1"/>
          <w:numId w:val="2"/>
        </w:numPr>
        <w:tabs>
          <w:tab w:val="clear" w:pos="708"/>
          <w:tab w:val="left" w:pos="-426" w:leader="none"/>
          <w:tab w:val="left" w:pos="1843" w:leader="none"/>
        </w:tabs>
        <w:spacing w:before="0" w:after="0"/>
        <w:ind w:left="0" w:right="-58" w:firstLine="1134"/>
        <w:contextualSpacing/>
        <w:rPr/>
      </w:pPr>
      <w:bookmarkStart w:id="2" w:name="sub_321"/>
      <w:bookmarkEnd w:id="2"/>
      <w:r>
        <w:rPr/>
        <w:t>Муниципальные программы, предлагаемые к реализации начиная с очередного финансового года, подлежат утверждению в срок не позднее одного месяца до вступления в силу Решения С</w:t>
      </w:r>
      <w:r>
        <w:rPr>
          <w:bCs/>
        </w:rPr>
        <w:t xml:space="preserve">обрания Представителей </w:t>
      </w:r>
      <w:r>
        <w:rPr/>
        <w:t>сельского поселения Верхнее Санчелеево муниципального</w:t>
      </w:r>
      <w:r>
        <w:rPr>
          <w:bCs/>
        </w:rPr>
        <w:t xml:space="preserve"> района Ставропольский Самарской области о</w:t>
      </w:r>
      <w:r>
        <w:rPr/>
        <w:t xml:space="preserve"> местном бюджете. </w:t>
      </w:r>
    </w:p>
    <w:p>
      <w:pPr>
        <w:pStyle w:val="BlockQuotation"/>
        <w:keepNext w:val="true"/>
        <w:numPr>
          <w:ilvl w:val="1"/>
          <w:numId w:val="2"/>
        </w:numPr>
        <w:tabs>
          <w:tab w:val="clear" w:pos="708"/>
          <w:tab w:val="left" w:pos="-426" w:leader="none"/>
          <w:tab w:val="left" w:pos="1843" w:leader="none"/>
        </w:tabs>
        <w:spacing w:before="0" w:after="0"/>
        <w:ind w:left="0" w:right="-58" w:firstLine="1134"/>
        <w:contextualSpacing/>
        <w:rPr/>
      </w:pPr>
      <w:bookmarkStart w:id="3" w:name="sub_433"/>
      <w:bookmarkStart w:id="4" w:name="sub_3211"/>
      <w:bookmarkEnd w:id="3"/>
      <w:bookmarkEnd w:id="4"/>
      <w:r>
        <w:rPr/>
        <w:t>Муниципальная программа подлежит приведению в соответствие с Решением С</w:t>
      </w:r>
      <w:r>
        <w:rPr>
          <w:bCs/>
        </w:rPr>
        <w:t xml:space="preserve">обрания Представителей </w:t>
      </w:r>
      <w:r>
        <w:rPr/>
        <w:t>сельского поселения Верхнее Санчелеево муниципального</w:t>
      </w:r>
      <w:r>
        <w:rPr>
          <w:bCs/>
        </w:rPr>
        <w:t xml:space="preserve"> района Ставропольский Самарской области о</w:t>
      </w:r>
      <w:r>
        <w:rPr/>
        <w:t xml:space="preserve"> местном бюджете не позднее трех месяцев со дня вступления его в силу.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bookmarkStart w:id="5" w:name="sub_4346"/>
      <w:bookmarkStart w:id="6" w:name="sub_4331"/>
      <w:bookmarkEnd w:id="5"/>
      <w:bookmarkEnd w:id="6"/>
      <w:r>
        <w:rPr>
          <w:sz w:val="28"/>
          <w:szCs w:val="28"/>
        </w:rPr>
        <w:t>В ходе исполнения местного бюджета объемы финансового обеспечения реализации муниципальной программы, в том числе подпрограмм и основных мероприятий, могут отличаться от объемов, утвержденных в составе муниципальной программы.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bookmarkStart w:id="7" w:name="sub_43461"/>
      <w:bookmarkEnd w:id="7"/>
      <w:r>
        <w:rPr>
          <w:sz w:val="28"/>
          <w:szCs w:val="28"/>
        </w:rPr>
        <w:t>Проекты нормативных правовых актов о внесении изменений в утвержденную муниципальную программу в текущем финансовом году утверждаются до 25 декабря текущего финансового года.</w:t>
      </w:r>
      <w:bookmarkStart w:id="8" w:name="sub_436"/>
      <w:bookmarkEnd w:id="8"/>
    </w:p>
    <w:p>
      <w:pPr>
        <w:pStyle w:val="ConsPlusNormal"/>
        <w:keepNext w:val="true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Default"/>
        <w:keepNext w:val="true"/>
        <w:numPr>
          <w:ilvl w:val="0"/>
          <w:numId w:val="2"/>
        </w:numPr>
        <w:ind w:left="0" w:hanging="0"/>
        <w:jc w:val="center"/>
        <w:rPr>
          <w:b/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Требования к структуре муниципальной программы</w:t>
      </w:r>
    </w:p>
    <w:p>
      <w:pPr>
        <w:pStyle w:val="Default"/>
        <w:keepNext w:val="true"/>
        <w:ind w:left="1134" w:hanging="0"/>
        <w:jc w:val="both"/>
        <w:rPr>
          <w:b/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</w:r>
    </w:p>
    <w:p>
      <w:pPr>
        <w:pStyle w:val="Normal"/>
        <w:keepNext w:val="true"/>
        <w:numPr>
          <w:ilvl w:val="1"/>
          <w:numId w:val="2"/>
        </w:numPr>
        <w:tabs>
          <w:tab w:val="clear" w:pos="708"/>
          <w:tab w:val="left" w:pos="1701" w:leader="none"/>
        </w:tabs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Муниципальные программы разрабатываются с учетом федеральных   законов, решений    Президента   Российской   Федерации и Правительства Российской Федерации и иных правовых актов Самарской области и муниципального района. </w:t>
      </w:r>
    </w:p>
    <w:p>
      <w:pPr>
        <w:pStyle w:val="Normal"/>
        <w:keepNext w:val="true"/>
        <w:tabs>
          <w:tab w:val="clear" w:pos="708"/>
          <w:tab w:val="left" w:pos="0" w:leader="none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3.2. Структура муниципальной программы должна быть сформирована исходя из принципа четкого соответствия планируемых к реализации программных мероприятий целям и задачам государственной (муниципальной) программы. 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В рамках муниципальной программы рекомендуется формулировать не более трех целей, которые должны соответствовать полномочиям органов местного самоуправления, предусмотренным действующим законодательством Российской Федерации. Формулировка цели должна быть краткой и ясной и не должна содержать специальных терминов, указаний на иные цели, задачи или результаты, которые являются следствиями достижения самой цели, а также описания путей, средств и методов достижения цели.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Достижение цели обеспечивается за счет решения задач муниципальной программы. Решение задач муниципальной программы должно обеспечиваться результатами реализации совокупности взаимосвязанных мероприятий муниципальной программы.</w:t>
      </w:r>
    </w:p>
    <w:p>
      <w:pPr>
        <w:pStyle w:val="Normal"/>
        <w:keepNext w:val="true"/>
        <w:ind w:firstLine="1134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случае формирования в структуре муниципальной программы подпрограмм как комплекса взаимоувязанных по срокам и ресурсам мероприятий и инструментов рекомендуется применять следующий подход к целеполаганию: решение задачи программы является целью подпрограммы, решение   задачи подпрограммы осуществляется посредством реализации конкретного мероприятия. При этом реализация конкретной задачи муниципальной программы осуществляется в рамках соответствующей подпрограммы.</w:t>
      </w:r>
    </w:p>
    <w:p>
      <w:pPr>
        <w:pStyle w:val="Normal"/>
        <w:keepNext w:val="true"/>
        <w:ind w:firstLine="1134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 постановке целей и задач необходимо обеспечить возможность проверки и подтверждения их достижения и решения. Для этого рекомендуется сформировать показатели (индикаторы) исходя из принципов необходимости и достаточности для достижения целей и решения задач муниципальной программы.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Показатели (индикаторы) приводятся по муниципальной программе и каждой подпрограмме муниципальной программы (при их наличии).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Систему показателей (индикаторов) следует выстраивать таким образом, чтобы к каждой задаче муниципальной программы был сформирован как минимум один индикатор, характеризующий ее решение. </w:t>
      </w:r>
      <w:r>
        <w:rPr>
          <w:sz w:val="28"/>
          <w:szCs w:val="28"/>
        </w:rPr>
        <w:t>В число используемых показателей (индикаторов) муниципальной программы (подпрограмм) должны включаться показатели, количественно характеризующие ход ее реализации, решение основных задач и достижение целей муниципальной программы.</w:t>
      </w:r>
    </w:p>
    <w:p>
      <w:pPr>
        <w:pStyle w:val="Normal"/>
        <w:keepNext w:val="true"/>
        <w:ind w:firstLine="1134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Перечень мероприятий должен содержать информацию о необходимых для реализации каждого мероприятия финансовых ресурсах (в разрезе источников финансирования) и сроках реализации. </w:t>
      </w:r>
      <w:r>
        <w:rPr>
          <w:rFonts w:eastAsia="Calibri"/>
          <w:sz w:val="28"/>
          <w:szCs w:val="28"/>
        </w:rPr>
        <w:t xml:space="preserve">Набор мероприятий должен быть необходимым и достаточным для достижения целей и решения задач подпрограммы. </w:t>
      </w:r>
    </w:p>
    <w:p>
      <w:pPr>
        <w:pStyle w:val="Normal"/>
        <w:keepNext w:val="true"/>
        <w:tabs>
          <w:tab w:val="clear" w:pos="708"/>
          <w:tab w:val="left" w:pos="1701" w:leader="none"/>
        </w:tabs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3.3. В случае если на федеральном или региональном уровнях, к оформлению и содержанию муниципальных программ, установлены дополнительные требования (рекомендации), то в муниципальных программах данные требования учитываются.</w:t>
      </w:r>
    </w:p>
    <w:p>
      <w:pPr>
        <w:pStyle w:val="Normal"/>
        <w:keepNext w:val="true"/>
        <w:tabs>
          <w:tab w:val="clear" w:pos="708"/>
          <w:tab w:val="left" w:pos="1701" w:leader="none"/>
        </w:tabs>
        <w:ind w:firstLine="1134"/>
        <w:jc w:val="both"/>
        <w:rPr>
          <w:sz w:val="28"/>
          <w:szCs w:val="28"/>
        </w:rPr>
      </w:pPr>
      <w:r>
        <w:rPr>
          <w:sz w:val="28"/>
          <w:szCs w:val="28"/>
          <w:highlight w:val="yellow"/>
        </w:rPr>
        <w:t xml:space="preserve"> </w:t>
      </w:r>
    </w:p>
    <w:p>
      <w:pPr>
        <w:pStyle w:val="Normal"/>
        <w:keepNext w:val="true"/>
        <w:numPr>
          <w:ilvl w:val="0"/>
          <w:numId w:val="2"/>
        </w:numPr>
        <w:tabs>
          <w:tab w:val="clear" w:pos="708"/>
          <w:tab w:val="left" w:pos="284" w:leader="none"/>
        </w:tabs>
        <w:ind w:left="0" w:hanging="0"/>
        <w:jc w:val="center"/>
        <w:outlineLvl w:val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Финансовое обеспечение реализации муниципальных программ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84" w:leader="none"/>
        </w:tabs>
        <w:jc w:val="both"/>
        <w:outlineLvl w:val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keepNext w:val="true"/>
        <w:widowControl w:val="false"/>
        <w:numPr>
          <w:ilvl w:val="1"/>
          <w:numId w:val="2"/>
        </w:numPr>
        <w:tabs>
          <w:tab w:val="clear" w:pos="708"/>
          <w:tab w:val="left" w:pos="1701" w:leader="none"/>
        </w:tabs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бюджетных ассигнований на финансовое обеспечение реализации муниципальных программ утверждается решением о бюджете сельского поселения Верхнее Санчелеево муниципального района Ставропольский Самарской области. </w:t>
      </w:r>
    </w:p>
    <w:p>
      <w:pPr>
        <w:pStyle w:val="Normal"/>
        <w:keepNext w:val="true"/>
        <w:widowControl w:val="false"/>
        <w:numPr>
          <w:ilvl w:val="1"/>
          <w:numId w:val="2"/>
        </w:numPr>
        <w:tabs>
          <w:tab w:val="clear" w:pos="708"/>
          <w:tab w:val="left" w:pos="1701" w:leader="none"/>
        </w:tabs>
        <w:ind w:left="0" w:firstLine="1134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Объем бюджетных ассигнований на реализацию мероприятий программ в плановом периоде может быть скорректирован с учетом решений о перераспределении бюджетных ассигнований. </w:t>
      </w:r>
    </w:p>
    <w:p>
      <w:pPr>
        <w:pStyle w:val="ConsPlusNormal"/>
        <w:keepNext w:val="true"/>
        <w:widowControl w:val="false"/>
        <w:numPr>
          <w:ilvl w:val="1"/>
          <w:numId w:val="2"/>
        </w:numPr>
        <w:tabs>
          <w:tab w:val="clear" w:pos="708"/>
          <w:tab w:val="left" w:pos="1701" w:leader="none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Муниципальные программы подлежат приведению в соответствие с р</w:t>
      </w:r>
      <w:r>
        <w:rPr>
          <w:rFonts w:cs="Times New Roman" w:ascii="Times New Roman" w:hAnsi="Times New Roman"/>
          <w:bCs/>
          <w:sz w:val="28"/>
          <w:szCs w:val="28"/>
        </w:rPr>
        <w:t xml:space="preserve">ешением о бюджете </w:t>
      </w:r>
      <w:r>
        <w:rPr>
          <w:rFonts w:cs="Times New Roman" w:ascii="Times New Roman" w:hAnsi="Times New Roman"/>
          <w:sz w:val="28"/>
          <w:szCs w:val="28"/>
        </w:rPr>
        <w:t>сельского поселения Верхнее Санчелеево</w:t>
      </w:r>
      <w:r>
        <w:rPr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муниципального</w:t>
      </w:r>
      <w:r>
        <w:rPr>
          <w:rFonts w:cs="Times New Roman" w:ascii="Times New Roman" w:hAnsi="Times New Roman"/>
          <w:bCs/>
          <w:sz w:val="28"/>
          <w:szCs w:val="28"/>
        </w:rPr>
        <w:t xml:space="preserve"> района Ставропольский Самарской области в сроки, установленные </w:t>
      </w:r>
      <w:r>
        <w:rPr>
          <w:rFonts w:cs="Times New Roman" w:ascii="Times New Roman" w:hAnsi="Times New Roman"/>
          <w:sz w:val="28"/>
          <w:szCs w:val="28"/>
        </w:rPr>
        <w:t>статьей 179 Бюджетного кодекса Российской.</w:t>
      </w:r>
    </w:p>
    <w:p>
      <w:pPr>
        <w:pStyle w:val="ConsPlusNormal"/>
        <w:keepNext w:val="true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keepNext w:val="true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keepNext w:val="true"/>
        <w:numPr>
          <w:ilvl w:val="0"/>
          <w:numId w:val="3"/>
        </w:numPr>
        <w:tabs>
          <w:tab w:val="clear" w:pos="708"/>
          <w:tab w:val="left" w:pos="1560" w:leader="none"/>
        </w:tabs>
        <w:ind w:left="0" w:firstLine="1134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Внесение изменений в муниципальную программу</w:t>
      </w:r>
    </w:p>
    <w:p>
      <w:pPr>
        <w:pStyle w:val="Normal"/>
        <w:keepNext w:val="true"/>
        <w:tabs>
          <w:tab w:val="clear" w:pos="708"/>
          <w:tab w:val="left" w:pos="1560" w:leader="none"/>
        </w:tabs>
        <w:ind w:left="1134" w:hanging="0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keepNext w:val="true"/>
        <w:numPr>
          <w:ilvl w:val="1"/>
          <w:numId w:val="3"/>
        </w:numPr>
        <w:tabs>
          <w:tab w:val="clear" w:pos="708"/>
          <w:tab w:val="left" w:pos="1701" w:leader="none"/>
        </w:tabs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Изменения в действующую муниципальную программу вносятся ответственным исполнителем муниципальной программы в следующих случаях: </w:t>
      </w:r>
    </w:p>
    <w:p>
      <w:pPr>
        <w:pStyle w:val="Normal"/>
        <w:keepNext w:val="true"/>
        <w:tabs>
          <w:tab w:val="clear" w:pos="708"/>
          <w:tab w:val="left" w:pos="1701" w:leader="none"/>
        </w:tabs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5.2.1. при изменении объема финансового обеспечения ее реализации (реализации ее мероприятий) в соответствии с Решением Собрания Представителей сельского поселения Верхнее Санчелеево муниципального района Ставропольский Самарской области о бюджете (о внесении изменений в бюджет) на очередной финансовый год и плановый период не позднее 3-х месяцев со дня вступления его в силу; </w:t>
      </w:r>
    </w:p>
    <w:p>
      <w:pPr>
        <w:pStyle w:val="Normal"/>
        <w:keepNext w:val="true"/>
        <w:tabs>
          <w:tab w:val="clear" w:pos="708"/>
          <w:tab w:val="left" w:pos="1843" w:leader="none"/>
        </w:tabs>
        <w:ind w:firstLine="113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5.2.2. в случае дополнения муниципальной программы новым мероприятием и соответствующим ему показателем (индикатором) или изменения наименования мероприятия и (или) показателя (индикатора) муниципальной программы - информация о соответствии таких мероприятий, показателя (индикатора) целям и задачам муниципальной программы, а также предусмотренным действующим законодательством полномочиям органов местного самоуправления (с указанием конкретной нормы правового акта); </w:t>
      </w:r>
    </w:p>
    <w:p>
      <w:pPr>
        <w:pStyle w:val="Normal"/>
        <w:keepNext w:val="true"/>
        <w:tabs>
          <w:tab w:val="clear" w:pos="708"/>
          <w:tab w:val="left" w:pos="1701" w:leader="none"/>
        </w:tabs>
        <w:ind w:firstLine="113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5.2.3. в случае дополнения муниципальной программы новой задачей или изменения наименования задачи муниципальной программы - информация о соответствии такой задачи целям муниципальной программы, а также предусмотренным действующим законодательством полномочиям органов местного самоуправления (с указанием конкретной нормы правового акта).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keepNext w:val="true"/>
        <w:numPr>
          <w:ilvl w:val="0"/>
          <w:numId w:val="3"/>
        </w:numPr>
        <w:tabs>
          <w:tab w:val="clear" w:pos="708"/>
          <w:tab w:val="left" w:pos="1701" w:leader="none"/>
        </w:tabs>
        <w:jc w:val="center"/>
        <w:outlineLvl w:val="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Управление и контроль за ходом реализации муниципальной программы</w:t>
      </w:r>
    </w:p>
    <w:p>
      <w:pPr>
        <w:pStyle w:val="13"/>
        <w:keepNext w:val="true"/>
        <w:numPr>
          <w:ilvl w:val="1"/>
          <w:numId w:val="5"/>
        </w:numPr>
        <w:shd w:val="clear" w:color="auto" w:fill="auto"/>
        <w:tabs>
          <w:tab w:val="clear" w:pos="708"/>
          <w:tab w:val="left" w:pos="1701" w:leader="none"/>
        </w:tabs>
        <w:suppressAutoHyphens w:val="true"/>
        <w:spacing w:lineRule="auto" w:line="240" w:before="0" w:after="0"/>
        <w:ind w:left="0" w:right="4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Текущее управление реализацией муниципальной программы осуществляется ответственным исполнителем. </w:t>
      </w:r>
    </w:p>
    <w:p>
      <w:pPr>
        <w:pStyle w:val="13"/>
        <w:keepNext w:val="true"/>
        <w:numPr>
          <w:ilvl w:val="1"/>
          <w:numId w:val="5"/>
        </w:numPr>
        <w:shd w:val="clear" w:color="auto" w:fill="auto"/>
        <w:tabs>
          <w:tab w:val="clear" w:pos="708"/>
          <w:tab w:val="left" w:pos="1701" w:leader="none"/>
        </w:tabs>
        <w:suppressAutoHyphens w:val="true"/>
        <w:spacing w:lineRule="auto" w:line="240" w:before="0" w:after="0"/>
        <w:ind w:left="0" w:right="40" w:firstLine="1134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исполнитель муниципальной программы осуществляет:</w:t>
      </w:r>
    </w:p>
    <w:p>
      <w:pPr>
        <w:pStyle w:val="ConsPlusNormal"/>
        <w:keepNext w:val="true"/>
        <w:widowControl w:val="false"/>
        <w:numPr>
          <w:ilvl w:val="0"/>
          <w:numId w:val="4"/>
        </w:numPr>
        <w:tabs>
          <w:tab w:val="clear" w:pos="708"/>
          <w:tab w:val="left" w:pos="1560" w:leader="none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разработку и согласование муниципальной программы;</w:t>
      </w:r>
    </w:p>
    <w:p>
      <w:pPr>
        <w:pStyle w:val="ConsPlusNormal"/>
        <w:keepNext w:val="true"/>
        <w:widowControl w:val="false"/>
        <w:numPr>
          <w:ilvl w:val="0"/>
          <w:numId w:val="4"/>
        </w:numPr>
        <w:tabs>
          <w:tab w:val="clear" w:pos="708"/>
          <w:tab w:val="left" w:pos="1560" w:leader="none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осуществляет внесение в нее изменений; </w:t>
      </w:r>
    </w:p>
    <w:p>
      <w:pPr>
        <w:pStyle w:val="ConsPlusNormal"/>
        <w:keepNext w:val="true"/>
        <w:widowControl w:val="false"/>
        <w:numPr>
          <w:ilvl w:val="0"/>
          <w:numId w:val="4"/>
        </w:numPr>
        <w:tabs>
          <w:tab w:val="clear" w:pos="708"/>
          <w:tab w:val="left" w:pos="1560" w:leader="none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обеспечивает размещение муниципальной программы на официальном сайте администрации сельского поселения Верхнее Санчелеево муниципального района Ставропольский Самарской области в сети Интернет;</w:t>
      </w:r>
    </w:p>
    <w:p>
      <w:pPr>
        <w:pStyle w:val="ConsPlusNormal"/>
        <w:keepNext w:val="true"/>
        <w:widowControl w:val="false"/>
        <w:numPr>
          <w:ilvl w:val="0"/>
          <w:numId w:val="4"/>
        </w:numPr>
        <w:tabs>
          <w:tab w:val="clear" w:pos="708"/>
          <w:tab w:val="left" w:pos="1560" w:leader="none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организует общественное обсуждение проектов муниципальных программ; </w:t>
      </w:r>
    </w:p>
    <w:p>
      <w:pPr>
        <w:pStyle w:val="ConsPlusNormal"/>
        <w:keepNext w:val="true"/>
        <w:widowControl w:val="false"/>
        <w:numPr>
          <w:ilvl w:val="0"/>
          <w:numId w:val="4"/>
        </w:numPr>
        <w:tabs>
          <w:tab w:val="clear" w:pos="708"/>
          <w:tab w:val="left" w:pos="1560" w:leader="none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осуществляет мониторинг реализации муниципальной программы и принимает меры, обеспечивающие выполнение мероприятий муниципальной программы, освоение средств и достижение целевых показателей (индикаторов) муниципальной программы.</w:t>
      </w:r>
    </w:p>
    <w:p>
      <w:pPr>
        <w:pStyle w:val="ConsPlusNormal"/>
        <w:keepNext w:val="true"/>
        <w:widowControl w:val="false"/>
        <w:numPr>
          <w:ilvl w:val="0"/>
          <w:numId w:val="4"/>
        </w:numPr>
        <w:tabs>
          <w:tab w:val="clear" w:pos="708"/>
          <w:tab w:val="left" w:pos="1560" w:leader="none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осуществляет ежегодную подготовку годового отчета о реализации и оценке эффективности муниципальной программы, содержащий текстовую часть и приложения не позднее 1 марта года, следующего за отчетным финансовым годом.</w:t>
      </w:r>
    </w:p>
    <w:p>
      <w:pPr>
        <w:pStyle w:val="ConsPlusNormal"/>
        <w:keepNext w:val="true"/>
        <w:widowControl w:val="false"/>
        <w:tabs>
          <w:tab w:val="clear" w:pos="708"/>
          <w:tab w:val="left" w:pos="1560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keepNext w:val="true"/>
        <w:widowControl w:val="false"/>
        <w:numPr>
          <w:ilvl w:val="0"/>
          <w:numId w:val="3"/>
        </w:numPr>
        <w:ind w:left="0" w:hanging="142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Подготовка годового отчета.</w:t>
      </w:r>
    </w:p>
    <w:p>
      <w:pPr>
        <w:pStyle w:val="Normal"/>
        <w:keepNext w:val="true"/>
        <w:widowControl w:val="false"/>
        <w:tabs>
          <w:tab w:val="clear" w:pos="708"/>
          <w:tab w:val="left" w:pos="1134" w:leader="none"/>
        </w:tabs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keepNext w:val="true"/>
        <w:numPr>
          <w:ilvl w:val="1"/>
          <w:numId w:val="3"/>
        </w:numPr>
        <w:tabs>
          <w:tab w:val="clear" w:pos="708"/>
          <w:tab w:val="left" w:pos="1701" w:leader="none"/>
        </w:tabs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Годовой отчет должен содержать следующую информацию: 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наименование целей и задач муниципальной программы; 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информацию о финансировании мероприятий муниципальной программы с указанием причин отклонения фактических финансовых расходов от планового объема финансового обеспечения реализации каждого запланированного к реализации в отчетном периоде мероприятия (при наличии такого отклонения);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- перечень мероприятий, выполненных и не выполненных в установленные сроки (с указанием причин);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оценку эффективности муниципальной программы, проведенной в соответствии с </w:t>
      </w:r>
      <w:r>
        <w:rPr>
          <w:bCs/>
          <w:sz w:val="28"/>
          <w:szCs w:val="28"/>
        </w:rPr>
        <w:t xml:space="preserve">методикой оценки эффективности реализации муниципальной программы </w:t>
      </w:r>
      <w:r>
        <w:rPr>
          <w:sz w:val="28"/>
          <w:szCs w:val="28"/>
        </w:rPr>
        <w:t>(приложение 1);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информацию о внесенных ответственным исполнителем изменениях в муниципальную программу.</w:t>
      </w:r>
    </w:p>
    <w:p>
      <w:pPr>
        <w:pStyle w:val="Normal"/>
        <w:keepNext w:val="true"/>
        <w:ind w:firstLine="1134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Вышеперечисленная информация представляется как в целом по муниципальной программе, так и в разрезе подпрограмм, входящих в состав муниципальной программы. </w:t>
      </w:r>
    </w:p>
    <w:p>
      <w:pPr>
        <w:pStyle w:val="Normal"/>
        <w:keepNext w:val="true"/>
        <w:tabs>
          <w:tab w:val="clear" w:pos="708"/>
          <w:tab w:val="left" w:pos="1701" w:leader="none"/>
        </w:tabs>
        <w:ind w:firstLine="113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7.2. Не позднее 25 апреля года, следующего за отчетным годом, администрация </w:t>
      </w:r>
      <w:r>
        <w:rPr>
          <w:sz w:val="28"/>
          <w:szCs w:val="28"/>
        </w:rPr>
        <w:t xml:space="preserve">сельского поселения Верхнее Санчелеево  </w:t>
      </w:r>
      <w:r>
        <w:rPr>
          <w:color w:val="000000"/>
          <w:sz w:val="28"/>
          <w:szCs w:val="28"/>
        </w:rPr>
        <w:t xml:space="preserve">муниципального района Ставропольский Самарской области осуществляет подготовку  сводного годового отчета о ходе реализации муниципальных программ и размещает его на официальном сайте администрации </w:t>
      </w:r>
      <w:r>
        <w:rPr>
          <w:sz w:val="28"/>
          <w:szCs w:val="28"/>
        </w:rPr>
        <w:t xml:space="preserve">сельского поселения Верхнее Санчелеево </w:t>
      </w:r>
      <w:r>
        <w:rPr>
          <w:color w:val="000000"/>
          <w:sz w:val="28"/>
          <w:szCs w:val="28"/>
        </w:rPr>
        <w:t>муниципального района Ставропольский Самарской области.</w:t>
      </w:r>
    </w:p>
    <w:p>
      <w:pPr>
        <w:pStyle w:val="Normal"/>
        <w:keepNext w:val="true"/>
        <w:ind w:firstLine="1134"/>
        <w:jc w:val="both"/>
        <w:rPr/>
      </w:pPr>
      <w:r>
        <w:rPr/>
      </w:r>
    </w:p>
    <w:p>
      <w:pPr>
        <w:pStyle w:val="Normal"/>
        <w:keepNext w:val="true"/>
        <w:ind w:left="5670" w:hanging="0"/>
        <w:jc w:val="both"/>
        <w:rPr/>
      </w:pPr>
      <w:r>
        <w:rPr/>
      </w:r>
    </w:p>
    <w:p>
      <w:pPr>
        <w:pStyle w:val="Normal"/>
        <w:keepNext w:val="true"/>
        <w:spacing w:lineRule="auto" w:line="360"/>
        <w:ind w:left="5670" w:hanging="0"/>
        <w:jc w:val="both"/>
        <w:rPr/>
      </w:pPr>
      <w:r>
        <w:rPr/>
      </w:r>
    </w:p>
    <w:p>
      <w:pPr>
        <w:pStyle w:val="Normal"/>
        <w:keepNext w:val="true"/>
        <w:spacing w:lineRule="auto" w:line="360"/>
        <w:ind w:left="5670" w:hanging="0"/>
        <w:jc w:val="both"/>
        <w:rPr/>
      </w:pPr>
      <w:r>
        <w:rPr/>
      </w:r>
    </w:p>
    <w:p>
      <w:pPr>
        <w:pStyle w:val="Normal"/>
        <w:keepNext w:val="true"/>
        <w:spacing w:lineRule="auto" w:line="360"/>
        <w:ind w:left="5670" w:hanging="0"/>
        <w:jc w:val="both"/>
        <w:rPr/>
      </w:pPr>
      <w:r>
        <w:rPr/>
      </w:r>
    </w:p>
    <w:p>
      <w:pPr>
        <w:pStyle w:val="Normal"/>
        <w:keepNext w:val="true"/>
        <w:spacing w:lineRule="auto" w:line="360"/>
        <w:ind w:left="5670" w:hanging="0"/>
        <w:jc w:val="both"/>
        <w:rPr/>
      </w:pPr>
      <w:r>
        <w:rPr/>
      </w:r>
    </w:p>
    <w:p>
      <w:pPr>
        <w:pStyle w:val="Normal"/>
        <w:keepNext w:val="true"/>
        <w:spacing w:lineRule="auto" w:line="360"/>
        <w:ind w:left="5670" w:hanging="0"/>
        <w:jc w:val="both"/>
        <w:rPr/>
      </w:pPr>
      <w:r>
        <w:rPr/>
      </w:r>
    </w:p>
    <w:p>
      <w:pPr>
        <w:pStyle w:val="Normal"/>
        <w:keepNext w:val="true"/>
        <w:spacing w:lineRule="auto" w:line="360"/>
        <w:jc w:val="both"/>
        <w:rPr/>
      </w:pPr>
      <w:r>
        <w:rPr/>
      </w:r>
    </w:p>
    <w:p>
      <w:pPr>
        <w:pStyle w:val="Normal"/>
        <w:keepNext w:val="true"/>
        <w:spacing w:lineRule="auto" w:line="360"/>
        <w:jc w:val="both"/>
        <w:rPr/>
      </w:pPr>
      <w:r>
        <w:rPr/>
      </w:r>
    </w:p>
    <w:p>
      <w:pPr>
        <w:pStyle w:val="Normal"/>
        <w:keepNext w:val="true"/>
        <w:spacing w:lineRule="auto" w:line="360"/>
        <w:ind w:left="5670" w:hanging="0"/>
        <w:jc w:val="both"/>
        <w:rPr/>
      </w:pPr>
      <w:r>
        <w:rPr/>
      </w:r>
    </w:p>
    <w:p>
      <w:pPr>
        <w:pStyle w:val="Normal"/>
        <w:keepNext w:val="true"/>
        <w:spacing w:lineRule="auto" w:line="360"/>
        <w:ind w:left="5670" w:hanging="0"/>
        <w:jc w:val="both"/>
        <w:rPr/>
      </w:pPr>
      <w:r>
        <w:rPr/>
      </w:r>
    </w:p>
    <w:p>
      <w:pPr>
        <w:pStyle w:val="Normal"/>
        <w:keepNext w:val="true"/>
        <w:spacing w:lineRule="auto" w:line="360"/>
        <w:ind w:left="5670" w:hanging="0"/>
        <w:jc w:val="both"/>
        <w:rPr/>
      </w:pPr>
      <w:r>
        <w:rPr/>
      </w:r>
    </w:p>
    <w:p>
      <w:pPr>
        <w:pStyle w:val="Normal"/>
        <w:keepNext w:val="true"/>
        <w:spacing w:lineRule="auto" w:line="360"/>
        <w:ind w:left="5670" w:hanging="0"/>
        <w:jc w:val="both"/>
        <w:rPr/>
      </w:pPr>
      <w:r>
        <w:rPr/>
      </w:r>
    </w:p>
    <w:p>
      <w:pPr>
        <w:pStyle w:val="Normal"/>
        <w:keepNext w:val="true"/>
        <w:spacing w:lineRule="auto" w:line="360"/>
        <w:ind w:left="5670" w:hanging="0"/>
        <w:jc w:val="both"/>
        <w:rPr/>
      </w:pPr>
      <w:r>
        <w:rPr/>
      </w:r>
    </w:p>
    <w:p>
      <w:pPr>
        <w:pStyle w:val="Normal"/>
        <w:keepNext w:val="true"/>
        <w:spacing w:lineRule="auto" w:line="360"/>
        <w:ind w:left="5670" w:hanging="0"/>
        <w:jc w:val="both"/>
        <w:rPr/>
      </w:pPr>
      <w:r>
        <w:rPr/>
      </w:r>
    </w:p>
    <w:p>
      <w:pPr>
        <w:pStyle w:val="Normal"/>
        <w:keepNext w:val="true"/>
        <w:spacing w:lineRule="auto" w:line="360"/>
        <w:ind w:left="5670" w:hanging="0"/>
        <w:jc w:val="both"/>
        <w:rPr/>
      </w:pPr>
      <w:r>
        <w:rPr/>
      </w:r>
    </w:p>
    <w:p>
      <w:pPr>
        <w:pStyle w:val="Normal"/>
        <w:keepNext w:val="true"/>
        <w:spacing w:lineRule="auto" w:line="360"/>
        <w:ind w:left="5670" w:hanging="0"/>
        <w:jc w:val="both"/>
        <w:rPr/>
      </w:pPr>
      <w:r>
        <w:rPr/>
      </w:r>
    </w:p>
    <w:p>
      <w:pPr>
        <w:pStyle w:val="Normal"/>
        <w:keepNext w:val="true"/>
        <w:spacing w:lineRule="auto" w:line="360"/>
        <w:ind w:left="5670" w:hanging="0"/>
        <w:jc w:val="both"/>
        <w:rPr/>
      </w:pPr>
      <w:r>
        <w:rPr/>
      </w:r>
    </w:p>
    <w:p>
      <w:pPr>
        <w:pStyle w:val="Normal"/>
        <w:keepNext w:val="true"/>
        <w:ind w:left="5670" w:hanging="0"/>
        <w:jc w:val="both"/>
        <w:rPr/>
      </w:pPr>
      <w:r>
        <w:rPr/>
        <w:t>Приложение № 1</w:t>
      </w:r>
    </w:p>
    <w:p>
      <w:pPr>
        <w:pStyle w:val="Normal"/>
        <w:keepNext w:val="true"/>
        <w:ind w:left="5670" w:hanging="0"/>
        <w:jc w:val="both"/>
        <w:rPr/>
      </w:pPr>
      <w:r>
        <w:rPr/>
        <w:t>к Порядку разработки, реализации и оценки эффективности муниципальных программ сельского поселения Верхнее Санчелеево</w:t>
      </w:r>
      <w:r>
        <w:rPr>
          <w:sz w:val="28"/>
          <w:szCs w:val="28"/>
        </w:rPr>
        <w:t xml:space="preserve"> </w:t>
      </w:r>
      <w:r>
        <w:rPr/>
        <w:t>муниципального района Ставропольский Самарской области</w:t>
      </w:r>
    </w:p>
    <w:p>
      <w:pPr>
        <w:pStyle w:val="Normal"/>
        <w:keepNext w:val="true"/>
        <w:spacing w:lineRule="auto" w:line="360"/>
        <w:ind w:firstLine="1843"/>
        <w:jc w:val="both"/>
        <w:rPr/>
      </w:pPr>
      <w:r>
        <w:rPr/>
      </w:r>
    </w:p>
    <w:p>
      <w:pPr>
        <w:pStyle w:val="Normal"/>
        <w:keepNext w:val="true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МЕТОДИКА ОЦЕНКИ ЭФФЕКТИВНОСТИ РЕАЛИЗАЦИИ МУНИЦИПАЛЬНОЙ ПРОГРАММЫ</w:t>
      </w:r>
    </w:p>
    <w:p>
      <w:pPr>
        <w:pStyle w:val="ListParagraph"/>
        <w:keepNext w:val="true"/>
        <w:tabs>
          <w:tab w:val="clear" w:pos="708"/>
          <w:tab w:val="left" w:pos="1701" w:leader="none"/>
        </w:tabs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keepNext w:val="true"/>
        <w:tabs>
          <w:tab w:val="clear" w:pos="708"/>
          <w:tab w:val="left" w:pos="1701" w:leader="none"/>
        </w:tabs>
        <w:ind w:left="0" w:firstLine="113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Оценка эффективности муниципальной программы проводится с целью оценки вклада результатов муниципальной программы в социально-экономическое развитие муниципального образования. 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критериев оценки эффективности (Э</w:t>
      </w:r>
      <w:r>
        <w:rPr>
          <w:sz w:val="28"/>
          <w:szCs w:val="28"/>
          <w:vertAlign w:val="subscript"/>
        </w:rPr>
        <w:t>фф</w:t>
      </w:r>
      <w:r>
        <w:rPr>
          <w:sz w:val="28"/>
          <w:szCs w:val="28"/>
        </w:rPr>
        <w:t>) реализации муниципальной программы используются коэффициенты результативности:</w:t>
      </w:r>
    </w:p>
    <w:p>
      <w:pPr>
        <w:pStyle w:val="Normal"/>
        <w:keepNext w:val="true"/>
        <w:numPr>
          <w:ilvl w:val="0"/>
          <w:numId w:val="6"/>
        </w:numPr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 xml:space="preserve">и </w:t>
      </w:r>
      <w:r>
        <w:rPr>
          <w:sz w:val="28"/>
          <w:szCs w:val="28"/>
        </w:rPr>
        <w:t>- уровень достижения показателей (индикаторов) муниципальной программы;</w:t>
      </w:r>
    </w:p>
    <w:p>
      <w:pPr>
        <w:pStyle w:val="ListParagraph"/>
        <w:keepNext w:val="true"/>
        <w:numPr>
          <w:ilvl w:val="0"/>
          <w:numId w:val="6"/>
        </w:numPr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>ф</w:t>
      </w:r>
      <w:r>
        <w:rPr>
          <w:sz w:val="28"/>
          <w:szCs w:val="28"/>
        </w:rPr>
        <w:t xml:space="preserve"> - уровень исполнения планового объема финансового обеспечения муниципальной программы;</w:t>
      </w:r>
    </w:p>
    <w:p>
      <w:pPr>
        <w:pStyle w:val="ListParagraph"/>
        <w:keepNext w:val="true"/>
        <w:numPr>
          <w:ilvl w:val="0"/>
          <w:numId w:val="6"/>
        </w:numPr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>м</w:t>
      </w:r>
      <w:r>
        <w:rPr>
          <w:sz w:val="28"/>
          <w:szCs w:val="28"/>
        </w:rPr>
        <w:t xml:space="preserve"> - уровень исполнения плана реализации мероприятий муниципальной программы:</w:t>
      </w:r>
    </w:p>
    <w:p>
      <w:pPr>
        <w:pStyle w:val="Normal"/>
        <w:keepNext w:val="true"/>
        <w:ind w:firstLine="540"/>
        <w:jc w:val="both"/>
        <w:rPr/>
      </w:pPr>
      <w:r>
        <w:rPr>
          <w:sz w:val="28"/>
          <w:szCs w:val="28"/>
        </w:rPr>
        <w:t>Для оценки уровня достижения показателей (индикаторов) (К</w:t>
      </w:r>
      <w:r>
        <w:rPr>
          <w:sz w:val="28"/>
          <w:szCs w:val="28"/>
          <w:vertAlign w:val="subscript"/>
        </w:rPr>
        <w:t>и</w:t>
      </w:r>
      <w:r>
        <w:rPr>
          <w:sz w:val="28"/>
          <w:szCs w:val="28"/>
        </w:rPr>
        <w:t>) муниципальной программы проводится сравнение фактически достигнутых показателей (индикаторов) муниципальной программы (К</w:t>
      </w:r>
      <w:r>
        <w:rPr>
          <w:sz w:val="28"/>
          <w:szCs w:val="28"/>
          <w:vertAlign w:val="subscript"/>
        </w:rPr>
        <w:t>и(факт)</w:t>
      </w:r>
      <w:r>
        <w:rPr>
          <w:sz w:val="28"/>
          <w:szCs w:val="28"/>
        </w:rPr>
        <w:t>) с запланированными (К</w:t>
      </w:r>
      <w:r>
        <w:rPr>
          <w:sz w:val="28"/>
          <w:szCs w:val="28"/>
          <w:vertAlign w:val="subscript"/>
        </w:rPr>
        <w:t>и (план)</w:t>
      </w:r>
      <w:r>
        <w:rPr>
          <w:sz w:val="28"/>
          <w:szCs w:val="28"/>
        </w:rPr>
        <w:t xml:space="preserve">).  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1753235" cy="448310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235" cy="44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если целью реализации мероприятия муниципальной программы является увеличение значения показателя (индикатора) (прямой показатель),  </w:t>
      </w:r>
    </w:p>
    <w:p>
      <w:pPr>
        <w:pStyle w:val="Normal"/>
        <w:keepNext w:val="true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1781810" cy="448310"/>
            <wp:effectExtent l="0" t="0" r="0" b="0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10" cy="44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если целью реализации мероприятия муниципальной программы является уменьшение значения показателя (индикатора) (обратный показатель).</w:t>
      </w:r>
    </w:p>
    <w:p>
      <w:pPr>
        <w:pStyle w:val="Normal"/>
        <w:keepNext w:val="true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оценки уровня исполнения планового объема финансового обеспечения (К</w:t>
      </w:r>
      <w:r>
        <w:rPr>
          <w:sz w:val="28"/>
          <w:szCs w:val="28"/>
          <w:vertAlign w:val="subscript"/>
        </w:rPr>
        <w:t>ф</w:t>
      </w:r>
      <w:r>
        <w:rPr>
          <w:sz w:val="28"/>
          <w:szCs w:val="28"/>
        </w:rPr>
        <w:t>) сопоставляется значение фактического объема финансовых расходов на реализацию мероприятий муниципальной программы (К</w:t>
      </w:r>
      <w:r>
        <w:rPr>
          <w:sz w:val="28"/>
          <w:szCs w:val="28"/>
          <w:vertAlign w:val="subscript"/>
        </w:rPr>
        <w:t>ф (факт)</w:t>
      </w:r>
      <w:r>
        <w:rPr>
          <w:sz w:val="28"/>
          <w:szCs w:val="28"/>
        </w:rPr>
        <w:t>) к плановому (К</w:t>
      </w:r>
      <w:r>
        <w:rPr>
          <w:sz w:val="28"/>
          <w:szCs w:val="28"/>
          <w:vertAlign w:val="subscript"/>
        </w:rPr>
        <w:t>ф (план)</w:t>
      </w:r>
      <w:r>
        <w:rPr>
          <w:sz w:val="28"/>
          <w:szCs w:val="28"/>
        </w:rPr>
        <w:t>) (с учетом фактических расходов бюджетов всех уровней и внебюджетных средств) и определяется по формуле:</w:t>
      </w:r>
    </w:p>
    <w:p>
      <w:pPr>
        <w:pStyle w:val="Normal"/>
        <w:keepNext w:val="true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1829435" cy="448310"/>
            <wp:effectExtent l="0" t="0" r="0" b="0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435" cy="44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keepNext w:val="tru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случае, если реализация муниципальной программы не требует финансовых расходов, значение уровня исполнения планового объема финансового обеспечения считается равным 100% (К</w:t>
      </w:r>
      <w:r>
        <w:rPr>
          <w:sz w:val="28"/>
          <w:szCs w:val="28"/>
          <w:vertAlign w:val="subscript"/>
        </w:rPr>
        <w:t>ф</w:t>
      </w:r>
      <w:r>
        <w:rPr>
          <w:sz w:val="28"/>
          <w:szCs w:val="28"/>
        </w:rPr>
        <w:t xml:space="preserve"> = 100%).</w:t>
      </w:r>
    </w:p>
    <w:p>
      <w:pPr>
        <w:pStyle w:val="ListParagraph"/>
        <w:keepNext w:val="tru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оценки уровня исполнения плана реализации мероприятий муниципальной программы проводится сравнение фактически реализованных мероприятий муниципальной программы (К</w:t>
      </w:r>
      <w:r>
        <w:rPr>
          <w:sz w:val="28"/>
          <w:szCs w:val="28"/>
          <w:vertAlign w:val="subscript"/>
        </w:rPr>
        <w:t>м(факт)</w:t>
      </w:r>
      <w:r>
        <w:rPr>
          <w:sz w:val="28"/>
          <w:szCs w:val="28"/>
        </w:rPr>
        <w:t>) с запланированными мероприятиями муниципальной программы (К</w:t>
      </w:r>
      <w:r>
        <w:rPr>
          <w:sz w:val="28"/>
          <w:szCs w:val="28"/>
          <w:vertAlign w:val="subscript"/>
        </w:rPr>
        <w:t>м(план)</w:t>
      </w:r>
      <w:r>
        <w:rPr>
          <w:sz w:val="28"/>
          <w:szCs w:val="28"/>
        </w:rPr>
        <w:t>).</w:t>
      </w:r>
    </w:p>
    <w:p>
      <w:pPr>
        <w:pStyle w:val="Normal"/>
        <w:keepNext w:val="true"/>
        <w:ind w:left="1134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1781810" cy="448310"/>
            <wp:effectExtent l="0" t="0" r="0" b="0"/>
            <wp:docPr id="5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10" cy="44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При завершении расчетов формулируются выводы по оценке эффективности реализации муниципальной программы, с учетом критериев оценки эффективности.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значении показателя эффективности реализации муниципальной программы 80% и более – программа оценивается как эффективная. 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значении показателя эффективности реализации муниципальной программы 50% до 80% – программа оценивается как удовлетворительная; </w:t>
      </w:r>
    </w:p>
    <w:p>
      <w:pPr>
        <w:pStyle w:val="Normal"/>
        <w:keepNext w:val="true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При значении показателя эффективности реализации муниципальной программы менее 50% – программа оценивается как неэффективная.</w:t>
      </w:r>
    </w:p>
    <w:p>
      <w:pPr>
        <w:pStyle w:val="ListParagraph"/>
        <w:keepNext w:val="true"/>
        <w:tabs>
          <w:tab w:val="clear" w:pos="708"/>
          <w:tab w:val="left" w:pos="1134" w:leader="none"/>
        </w:tabs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случае, если эффективность реализации муниципальной программы оценивается как удовлетворительная, либо муниципальная программа реализуется неэффективно, указываются причины, а также предложения по повышению эффективности муниципальной программы.</w:t>
      </w:r>
    </w:p>
    <w:p>
      <w:pPr>
        <w:pStyle w:val="Normal"/>
        <w:keepNext w:val="true"/>
        <w:suppressAutoHyphens w:val="true"/>
        <w:spacing w:lineRule="auto" w:line="276"/>
        <w:jc w:val="both"/>
        <w:rPr/>
      </w:pPr>
      <w:r>
        <w:rPr/>
      </w:r>
    </w:p>
    <w:p>
      <w:pPr>
        <w:pStyle w:val="Normal"/>
        <w:keepNext w:val="true"/>
        <w:suppressAutoHyphens w:val="true"/>
        <w:spacing w:lineRule="auto" w:line="276"/>
        <w:jc w:val="both"/>
        <w:rPr/>
      </w:pPr>
      <w:r>
        <w:rPr/>
      </w:r>
    </w:p>
    <w:p>
      <w:pPr>
        <w:pStyle w:val="Normal"/>
        <w:keepNext w:val="true"/>
        <w:suppressAutoHyphens w:val="true"/>
        <w:spacing w:lineRule="auto" w:line="276"/>
        <w:jc w:val="both"/>
        <w:rPr/>
      </w:pPr>
      <w:r>
        <w:rPr/>
      </w:r>
    </w:p>
    <w:p>
      <w:pPr>
        <w:pStyle w:val="Normal"/>
        <w:keepNext w:val="true"/>
        <w:suppressAutoHyphens w:val="true"/>
        <w:spacing w:lineRule="auto" w:line="276"/>
        <w:jc w:val="both"/>
        <w:rPr/>
      </w:pPr>
      <w:r>
        <w:rPr/>
      </w:r>
    </w:p>
    <w:p>
      <w:pPr>
        <w:pStyle w:val="Normal"/>
        <w:keepNext w:val="true"/>
        <w:suppressAutoHyphens w:val="true"/>
        <w:spacing w:lineRule="auto" w:line="276"/>
        <w:jc w:val="both"/>
        <w:rPr/>
      </w:pPr>
      <w:r>
        <w:rPr/>
      </w:r>
    </w:p>
    <w:p>
      <w:pPr>
        <w:pStyle w:val="Normal"/>
        <w:keepNext w:val="true"/>
        <w:suppressAutoHyphens w:val="true"/>
        <w:spacing w:lineRule="auto" w:line="276"/>
        <w:jc w:val="both"/>
        <w:rPr/>
      </w:pPr>
      <w:r>
        <w:rPr/>
      </w:r>
    </w:p>
    <w:p>
      <w:pPr>
        <w:pStyle w:val="Normal"/>
        <w:keepNext w:val="true"/>
        <w:suppressAutoHyphens w:val="true"/>
        <w:spacing w:lineRule="auto" w:line="276"/>
        <w:jc w:val="both"/>
        <w:rPr/>
      </w:pPr>
      <w:r>
        <w:rPr/>
      </w:r>
    </w:p>
    <w:p>
      <w:pPr>
        <w:pStyle w:val="Normal"/>
        <w:keepNext w:val="true"/>
        <w:suppressAutoHyphens w:val="true"/>
        <w:spacing w:lineRule="auto" w:line="276"/>
        <w:jc w:val="both"/>
        <w:rPr/>
      </w:pPr>
      <w:r>
        <w:rPr/>
      </w:r>
    </w:p>
    <w:p>
      <w:pPr>
        <w:pStyle w:val="Normal"/>
        <w:keepNext w:val="true"/>
        <w:suppressAutoHyphens w:val="true"/>
        <w:spacing w:lineRule="auto" w:line="276"/>
        <w:jc w:val="both"/>
        <w:rPr/>
      </w:pPr>
      <w:r>
        <w:rPr/>
      </w:r>
    </w:p>
    <w:sectPr>
      <w:headerReference w:type="default" r:id="rId7"/>
      <w:type w:val="nextPage"/>
      <w:pgSz w:w="11906" w:h="16838"/>
      <w:pgMar w:left="1701" w:right="708" w:header="567" w:top="851" w:footer="0" w:bottom="1276" w:gutter="0"/>
      <w:pgNumType w:start="1"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Verdana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11</w:t>
    </w:r>
    <w:r>
      <w:rPr/>
      <w:fldChar w:fldCharType="end"/>
    </w:r>
  </w:p>
  <w:p>
    <w:pPr>
      <w:pStyle w:val="Style2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778" w:hanging="360"/>
      </w:pPr>
      <w:rPr>
        <w:sz w:val="28"/>
        <w:b/>
        <w:rFonts w:ascii="Times New Roman" w:hAnsi="Times New Roman" w:eastAsia="Calibri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eastAsia="Calibri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eastAsia="Calibri"/>
      </w:rPr>
    </w:lvl>
    <w:lvl w:ilvl="5">
      <w:start w:val="1"/>
      <w:numFmt w:val="decimal"/>
      <w:lvlText w:val="%1.%2.%3.%4.%5.%6."/>
      <w:lvlJc w:val="left"/>
      <w:pPr>
        <w:ind w:left="1800" w:hanging="1080"/>
      </w:pPr>
      <w:rPr>
        <w:rFonts w:eastAsia="Calibri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eastAsia="Calibri"/>
      </w:rPr>
    </w:lvl>
    <w:lvl w:ilvl="7">
      <w:start w:val="1"/>
      <w:numFmt w:val="decimal"/>
      <w:lvlText w:val="%1.%2.%3.%4.%5.%6.%7.%8."/>
      <w:lvlJc w:val="left"/>
      <w:pPr>
        <w:ind w:left="2160" w:hanging="1440"/>
      </w:pPr>
      <w:rPr>
        <w:rFonts w:eastAsia="Calibri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eastAsia="Calibri"/>
      </w:rPr>
    </w:lvl>
  </w:abstractNum>
  <w:abstractNum w:abstractNumId="3">
    <w:lvl w:ilvl="0">
      <w:start w:val="5"/>
      <w:numFmt w:val="decimal"/>
      <w:lvlText w:val="%1."/>
      <w:lvlJc w:val="left"/>
      <w:pPr>
        <w:ind w:left="1440" w:hanging="360"/>
      </w:pPr>
      <w:rPr>
        <w:sz w:val="28"/>
        <w:b/>
      </w:rPr>
    </w:lvl>
    <w:lvl w:ilvl="1">
      <w:start w:val="1"/>
      <w:numFmt w:val="decimal"/>
      <w:lvlText w:val="%1.%2."/>
      <w:lvlJc w:val="left"/>
      <w:pPr>
        <w:ind w:left="2250" w:hanging="1170"/>
      </w:pPr>
      <w:rPr>
        <w:sz w:val="28"/>
        <w:color w:val="auto"/>
      </w:rPr>
    </w:lvl>
    <w:lvl w:ilvl="2">
      <w:start w:val="1"/>
      <w:numFmt w:val="decimal"/>
      <w:lvlText w:val="%1.%2.%3."/>
      <w:lvlJc w:val="left"/>
      <w:pPr>
        <w:ind w:left="2250" w:hanging="117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2250" w:hanging="117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250" w:hanging="117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2250" w:hanging="117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252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2880" w:hanging="1800"/>
      </w:pPr>
      <w:rPr>
        <w:color w:val="auto"/>
      </w:rPr>
    </w:lvl>
  </w:abstractNum>
  <w:abstractNum w:abstractNumId="4"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lvl w:ilvl="0">
      <w:start w:val="6"/>
      <w:numFmt w:val="decimal"/>
      <w:lvlText w:val="%1.3."/>
      <w:lvlJc w:val="left"/>
      <w:pPr>
        <w:ind w:left="1440" w:hanging="360"/>
      </w:pPr>
      <w:rPr>
        <w:b/>
      </w:rPr>
    </w:lvl>
    <w:lvl w:ilvl="1">
      <w:start w:val="1"/>
      <w:numFmt w:val="decimal"/>
      <w:lvlText w:val="%1.%2."/>
      <w:lvlJc w:val="left"/>
      <w:pPr>
        <w:ind w:left="2250" w:hanging="1170"/>
      </w:pPr>
      <w:rPr>
        <w:sz w:val="28"/>
        <w:szCs w:val="28"/>
        <w:color w:val="auto"/>
      </w:rPr>
    </w:lvl>
    <w:lvl w:ilvl="2">
      <w:start w:val="1"/>
      <w:numFmt w:val="decimal"/>
      <w:lvlText w:val="%1.%2.%3."/>
      <w:lvlJc w:val="left"/>
      <w:pPr>
        <w:ind w:left="2250" w:hanging="117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2250" w:hanging="117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250" w:hanging="117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2250" w:hanging="117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252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2880" w:hanging="1800"/>
      </w:pPr>
      <w:rPr>
        <w:color w:val="auto"/>
      </w:rPr>
    </w:lvl>
  </w:abstractNum>
  <w:abstractNum w:abstractNumId="6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7">
    <w:lvl w:ilvl="0">
      <w:start w:val="1"/>
      <w:numFmt w:val="bullet"/>
      <w:lvlText w:val=""/>
      <w:lvlJc w:val="left"/>
      <w:pPr>
        <w:ind w:left="1854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  <w:rFonts w:cs="Wingdings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75065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751752"/>
    <w:pPr>
      <w:widowControl w:val="false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rsid w:val="002971e5"/>
    <w:rPr>
      <w:color w:val="0000FF"/>
      <w:u w:val="single"/>
    </w:rPr>
  </w:style>
  <w:style w:type="character" w:styleId="Style14" w:customStyle="1">
    <w:name w:val="Текст выноски Знак"/>
    <w:link w:val="a5"/>
    <w:qFormat/>
    <w:rsid w:val="0000101e"/>
    <w:rPr>
      <w:rFonts w:ascii="Tahoma" w:hAnsi="Tahoma" w:cs="Tahoma"/>
      <w:sz w:val="16"/>
      <w:szCs w:val="16"/>
    </w:rPr>
  </w:style>
  <w:style w:type="character" w:styleId="11" w:customStyle="1">
    <w:name w:val="Основной шрифт абзаца1"/>
    <w:qFormat/>
    <w:rsid w:val="00d64b2b"/>
    <w:rPr/>
  </w:style>
  <w:style w:type="character" w:styleId="12" w:customStyle="1">
    <w:name w:val="Заголовок 1 Знак"/>
    <w:link w:val="1"/>
    <w:uiPriority w:val="99"/>
    <w:qFormat/>
    <w:rsid w:val="00751752"/>
    <w:rPr>
      <w:rFonts w:ascii="Arial" w:hAnsi="Arial"/>
      <w:b/>
      <w:bCs/>
      <w:color w:val="26282F"/>
      <w:sz w:val="24"/>
      <w:szCs w:val="24"/>
    </w:rPr>
  </w:style>
  <w:style w:type="character" w:styleId="Style15" w:customStyle="1">
    <w:name w:val="Верхний колонтитул Знак"/>
    <w:link w:val="a7"/>
    <w:uiPriority w:val="99"/>
    <w:qFormat/>
    <w:rsid w:val="00b75a4a"/>
    <w:rPr>
      <w:sz w:val="24"/>
      <w:szCs w:val="24"/>
    </w:rPr>
  </w:style>
  <w:style w:type="character" w:styleId="Style16" w:customStyle="1">
    <w:name w:val="Нижний колонтитул Знак"/>
    <w:link w:val="a9"/>
    <w:qFormat/>
    <w:rsid w:val="00b75a4a"/>
    <w:rPr>
      <w:sz w:val="24"/>
      <w:szCs w:val="24"/>
    </w:rPr>
  </w:style>
  <w:style w:type="character" w:styleId="Style17" w:customStyle="1">
    <w:name w:val="Основной текст + Полужирный"/>
    <w:uiPriority w:val="99"/>
    <w:qFormat/>
    <w:rsid w:val="008f2fc6"/>
    <w:rPr>
      <w:rFonts w:ascii="Times New Roman" w:hAnsi="Times New Roman" w:cs="Times New Roman"/>
      <w:b/>
      <w:bCs/>
      <w:spacing w:val="0"/>
      <w:sz w:val="27"/>
      <w:szCs w:val="27"/>
    </w:rPr>
  </w:style>
  <w:style w:type="character" w:styleId="Style18" w:customStyle="1">
    <w:name w:val="Основной текст_"/>
    <w:link w:val="12"/>
    <w:qFormat/>
    <w:rsid w:val="00ac02a4"/>
    <w:rPr>
      <w:sz w:val="27"/>
      <w:szCs w:val="27"/>
      <w:shd w:fill="FFFFFF" w:val="clear"/>
    </w:rPr>
  </w:style>
  <w:style w:type="character" w:styleId="ListLabel1">
    <w:name w:val="ListLabel 1"/>
    <w:qFormat/>
    <w:rPr>
      <w:rFonts w:ascii="Times New Roman" w:hAnsi="Times New Roman" w:eastAsia="Calibri"/>
      <w:b/>
      <w:sz w:val="28"/>
    </w:rPr>
  </w:style>
  <w:style w:type="character" w:styleId="ListLabel2">
    <w:name w:val="ListLabel 2"/>
    <w:qFormat/>
    <w:rPr>
      <w:rFonts w:eastAsia="Calibri"/>
    </w:rPr>
  </w:style>
  <w:style w:type="character" w:styleId="ListLabel3">
    <w:name w:val="ListLabel 3"/>
    <w:qFormat/>
    <w:rPr>
      <w:rFonts w:eastAsia="Calibri"/>
    </w:rPr>
  </w:style>
  <w:style w:type="character" w:styleId="ListLabel4">
    <w:name w:val="ListLabel 4"/>
    <w:qFormat/>
    <w:rPr>
      <w:rFonts w:eastAsia="Calibri"/>
    </w:rPr>
  </w:style>
  <w:style w:type="character" w:styleId="ListLabel5">
    <w:name w:val="ListLabel 5"/>
    <w:qFormat/>
    <w:rPr>
      <w:rFonts w:eastAsia="Calibri"/>
    </w:rPr>
  </w:style>
  <w:style w:type="character" w:styleId="ListLabel6">
    <w:name w:val="ListLabel 6"/>
    <w:qFormat/>
    <w:rPr>
      <w:rFonts w:eastAsia="Calibri"/>
    </w:rPr>
  </w:style>
  <w:style w:type="character" w:styleId="ListLabel7">
    <w:name w:val="ListLabel 7"/>
    <w:qFormat/>
    <w:rPr>
      <w:rFonts w:eastAsia="Calibri"/>
    </w:rPr>
  </w:style>
  <w:style w:type="character" w:styleId="ListLabel8">
    <w:name w:val="ListLabel 8"/>
    <w:qFormat/>
    <w:rPr>
      <w:rFonts w:eastAsia="Calibri"/>
    </w:rPr>
  </w:style>
  <w:style w:type="character" w:styleId="ListLabel9">
    <w:name w:val="ListLabel 9"/>
    <w:qFormat/>
    <w:rPr>
      <w:b/>
      <w:sz w:val="28"/>
    </w:rPr>
  </w:style>
  <w:style w:type="character" w:styleId="ListLabel10">
    <w:name w:val="ListLabel 10"/>
    <w:qFormat/>
    <w:rPr>
      <w:color w:val="auto"/>
      <w:sz w:val="28"/>
    </w:rPr>
  </w:style>
  <w:style w:type="character" w:styleId="ListLabel11">
    <w:name w:val="ListLabel 11"/>
    <w:qFormat/>
    <w:rPr>
      <w:color w:val="auto"/>
    </w:rPr>
  </w:style>
  <w:style w:type="character" w:styleId="ListLabel12">
    <w:name w:val="ListLabel 12"/>
    <w:qFormat/>
    <w:rPr>
      <w:color w:val="auto"/>
    </w:rPr>
  </w:style>
  <w:style w:type="character" w:styleId="ListLabel13">
    <w:name w:val="ListLabel 13"/>
    <w:qFormat/>
    <w:rPr>
      <w:color w:val="auto"/>
    </w:rPr>
  </w:style>
  <w:style w:type="character" w:styleId="ListLabel14">
    <w:name w:val="ListLabel 14"/>
    <w:qFormat/>
    <w:rPr>
      <w:color w:val="auto"/>
    </w:rPr>
  </w:style>
  <w:style w:type="character" w:styleId="ListLabel15">
    <w:name w:val="ListLabel 15"/>
    <w:qFormat/>
    <w:rPr>
      <w:color w:val="auto"/>
    </w:rPr>
  </w:style>
  <w:style w:type="character" w:styleId="ListLabel16">
    <w:name w:val="ListLabel 16"/>
    <w:qFormat/>
    <w:rPr>
      <w:color w:val="auto"/>
    </w:rPr>
  </w:style>
  <w:style w:type="character" w:styleId="ListLabel17">
    <w:name w:val="ListLabel 17"/>
    <w:qFormat/>
    <w:rPr>
      <w:color w:val="auto"/>
    </w:rPr>
  </w:style>
  <w:style w:type="character" w:styleId="ListLabel18">
    <w:name w:val="ListLabel 18"/>
    <w:qFormat/>
    <w:rPr>
      <w:rFonts w:eastAsia="Times New Roman" w:cs="Times New Roman"/>
    </w:rPr>
  </w:style>
  <w:style w:type="character" w:styleId="ListLabel19">
    <w:name w:val="ListLabel 19"/>
    <w:qFormat/>
    <w:rPr>
      <w:color w:val="000000"/>
    </w:rPr>
  </w:style>
  <w:style w:type="character" w:styleId="ListLabel20">
    <w:name w:val="ListLabel 20"/>
    <w:qFormat/>
    <w:rPr>
      <w:b/>
    </w:rPr>
  </w:style>
  <w:style w:type="character" w:styleId="ListLabel21">
    <w:name w:val="ListLabel 21"/>
    <w:qFormat/>
    <w:rPr>
      <w:color w:val="auto"/>
      <w:sz w:val="28"/>
      <w:szCs w:val="28"/>
    </w:rPr>
  </w:style>
  <w:style w:type="character" w:styleId="ListLabel22">
    <w:name w:val="ListLabel 22"/>
    <w:qFormat/>
    <w:rPr>
      <w:color w:val="auto"/>
    </w:rPr>
  </w:style>
  <w:style w:type="character" w:styleId="ListLabel23">
    <w:name w:val="ListLabel 23"/>
    <w:qFormat/>
    <w:rPr>
      <w:color w:val="auto"/>
    </w:rPr>
  </w:style>
  <w:style w:type="character" w:styleId="ListLabel24">
    <w:name w:val="ListLabel 24"/>
    <w:qFormat/>
    <w:rPr>
      <w:color w:val="auto"/>
    </w:rPr>
  </w:style>
  <w:style w:type="character" w:styleId="ListLabel25">
    <w:name w:val="ListLabel 25"/>
    <w:qFormat/>
    <w:rPr>
      <w:color w:val="auto"/>
    </w:rPr>
  </w:style>
  <w:style w:type="character" w:styleId="ListLabel26">
    <w:name w:val="ListLabel 26"/>
    <w:qFormat/>
    <w:rPr>
      <w:color w:val="auto"/>
    </w:rPr>
  </w:style>
  <w:style w:type="character" w:styleId="ListLabel27">
    <w:name w:val="ListLabel 27"/>
    <w:qFormat/>
    <w:rPr>
      <w:color w:val="auto"/>
    </w:rPr>
  </w:style>
  <w:style w:type="character" w:styleId="ListLabel28">
    <w:name w:val="ListLabel 28"/>
    <w:qFormat/>
    <w:rPr>
      <w:color w:val="auto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ascii="Times New Roman" w:hAnsi="Times New Roman" w:eastAsia="Calibri"/>
      <w:b/>
      <w:sz w:val="28"/>
    </w:rPr>
  </w:style>
  <w:style w:type="character" w:styleId="ListLabel36">
    <w:name w:val="ListLabel 36"/>
    <w:qFormat/>
    <w:rPr>
      <w:rFonts w:eastAsia="Calibri"/>
    </w:rPr>
  </w:style>
  <w:style w:type="character" w:styleId="ListLabel37">
    <w:name w:val="ListLabel 37"/>
    <w:qFormat/>
    <w:rPr>
      <w:rFonts w:eastAsia="Calibri"/>
    </w:rPr>
  </w:style>
  <w:style w:type="character" w:styleId="ListLabel38">
    <w:name w:val="ListLabel 38"/>
    <w:qFormat/>
    <w:rPr>
      <w:rFonts w:eastAsia="Calibri"/>
    </w:rPr>
  </w:style>
  <w:style w:type="character" w:styleId="ListLabel39">
    <w:name w:val="ListLabel 39"/>
    <w:qFormat/>
    <w:rPr>
      <w:rFonts w:eastAsia="Calibri"/>
    </w:rPr>
  </w:style>
  <w:style w:type="character" w:styleId="ListLabel40">
    <w:name w:val="ListLabel 40"/>
    <w:qFormat/>
    <w:rPr>
      <w:rFonts w:eastAsia="Calibri"/>
    </w:rPr>
  </w:style>
  <w:style w:type="character" w:styleId="ListLabel41">
    <w:name w:val="ListLabel 41"/>
    <w:qFormat/>
    <w:rPr>
      <w:rFonts w:eastAsia="Calibri"/>
    </w:rPr>
  </w:style>
  <w:style w:type="character" w:styleId="ListLabel42">
    <w:name w:val="ListLabel 42"/>
    <w:qFormat/>
    <w:rPr>
      <w:rFonts w:eastAsia="Calibri"/>
    </w:rPr>
  </w:style>
  <w:style w:type="character" w:styleId="ListLabel43">
    <w:name w:val="ListLabel 43"/>
    <w:qFormat/>
    <w:rPr>
      <w:b/>
      <w:sz w:val="28"/>
    </w:rPr>
  </w:style>
  <w:style w:type="character" w:styleId="ListLabel44">
    <w:name w:val="ListLabel 44"/>
    <w:qFormat/>
    <w:rPr>
      <w:color w:val="auto"/>
      <w:sz w:val="28"/>
    </w:rPr>
  </w:style>
  <w:style w:type="character" w:styleId="ListLabel45">
    <w:name w:val="ListLabel 45"/>
    <w:qFormat/>
    <w:rPr>
      <w:color w:val="auto"/>
    </w:rPr>
  </w:style>
  <w:style w:type="character" w:styleId="ListLabel46">
    <w:name w:val="ListLabel 46"/>
    <w:qFormat/>
    <w:rPr>
      <w:color w:val="auto"/>
    </w:rPr>
  </w:style>
  <w:style w:type="character" w:styleId="ListLabel47">
    <w:name w:val="ListLabel 47"/>
    <w:qFormat/>
    <w:rPr>
      <w:color w:val="auto"/>
    </w:rPr>
  </w:style>
  <w:style w:type="character" w:styleId="ListLabel48">
    <w:name w:val="ListLabel 48"/>
    <w:qFormat/>
    <w:rPr>
      <w:color w:val="auto"/>
    </w:rPr>
  </w:style>
  <w:style w:type="character" w:styleId="ListLabel49">
    <w:name w:val="ListLabel 49"/>
    <w:qFormat/>
    <w:rPr>
      <w:color w:val="auto"/>
    </w:rPr>
  </w:style>
  <w:style w:type="character" w:styleId="ListLabel50">
    <w:name w:val="ListLabel 50"/>
    <w:qFormat/>
    <w:rPr>
      <w:color w:val="auto"/>
    </w:rPr>
  </w:style>
  <w:style w:type="character" w:styleId="ListLabel51">
    <w:name w:val="ListLabel 51"/>
    <w:qFormat/>
    <w:rPr>
      <w:color w:val="auto"/>
    </w:rPr>
  </w:style>
  <w:style w:type="character" w:styleId="ListLabel52">
    <w:name w:val="ListLabel 52"/>
    <w:qFormat/>
    <w:rPr>
      <w:b/>
    </w:rPr>
  </w:style>
  <w:style w:type="character" w:styleId="ListLabel53">
    <w:name w:val="ListLabel 53"/>
    <w:qFormat/>
    <w:rPr>
      <w:color w:val="auto"/>
      <w:sz w:val="28"/>
      <w:szCs w:val="28"/>
    </w:rPr>
  </w:style>
  <w:style w:type="character" w:styleId="ListLabel54">
    <w:name w:val="ListLabel 54"/>
    <w:qFormat/>
    <w:rPr>
      <w:color w:val="auto"/>
    </w:rPr>
  </w:style>
  <w:style w:type="character" w:styleId="ListLabel55">
    <w:name w:val="ListLabel 55"/>
    <w:qFormat/>
    <w:rPr>
      <w:color w:val="auto"/>
    </w:rPr>
  </w:style>
  <w:style w:type="character" w:styleId="ListLabel56">
    <w:name w:val="ListLabel 56"/>
    <w:qFormat/>
    <w:rPr>
      <w:color w:val="auto"/>
    </w:rPr>
  </w:style>
  <w:style w:type="character" w:styleId="ListLabel57">
    <w:name w:val="ListLabel 57"/>
    <w:qFormat/>
    <w:rPr>
      <w:color w:val="auto"/>
    </w:rPr>
  </w:style>
  <w:style w:type="character" w:styleId="ListLabel58">
    <w:name w:val="ListLabel 58"/>
    <w:qFormat/>
    <w:rPr>
      <w:color w:val="auto"/>
    </w:rPr>
  </w:style>
  <w:style w:type="character" w:styleId="ListLabel59">
    <w:name w:val="ListLabel 59"/>
    <w:qFormat/>
    <w:rPr>
      <w:color w:val="auto"/>
    </w:rPr>
  </w:style>
  <w:style w:type="character" w:styleId="ListLabel60">
    <w:name w:val="ListLabel 60"/>
    <w:qFormat/>
    <w:rPr>
      <w:color w:val="auto"/>
    </w:rPr>
  </w:style>
  <w:style w:type="character" w:styleId="ListLabel61">
    <w:name w:val="ListLabel 61"/>
    <w:qFormat/>
    <w:rPr>
      <w:rFonts w:cs="Symbol"/>
      <w:sz w:val="28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Wingdings"/>
    </w:rPr>
  </w:style>
  <w:style w:type="character" w:styleId="ListLabel64">
    <w:name w:val="ListLabel 64"/>
    <w:qFormat/>
    <w:rPr>
      <w:rFonts w:cs="Symbol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Wingdings"/>
    </w:rPr>
  </w:style>
  <w:style w:type="character" w:styleId="ListLabel67">
    <w:name w:val="ListLabel 67"/>
    <w:qFormat/>
    <w:rPr>
      <w:rFonts w:cs="Symbol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Wingdings"/>
    </w:rPr>
  </w:style>
  <w:style w:type="character" w:styleId="ListLabel70">
    <w:name w:val="ListLabel 70"/>
    <w:qFormat/>
    <w:rPr>
      <w:rFonts w:cs="Symbol"/>
      <w:sz w:val="28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Wingdings"/>
    </w:rPr>
  </w:style>
  <w:style w:type="character" w:styleId="ListLabel73">
    <w:name w:val="ListLabel 73"/>
    <w:qFormat/>
    <w:rPr>
      <w:rFonts w:cs="Symbol"/>
    </w:rPr>
  </w:style>
  <w:style w:type="character" w:styleId="ListLabel74">
    <w:name w:val="ListLabel 74"/>
    <w:qFormat/>
    <w:rPr>
      <w:rFonts w:cs="Courier New"/>
    </w:rPr>
  </w:style>
  <w:style w:type="character" w:styleId="ListLabel75">
    <w:name w:val="ListLabel 75"/>
    <w:qFormat/>
    <w:rPr>
      <w:rFonts w:cs="Wingdings"/>
    </w:rPr>
  </w:style>
  <w:style w:type="character" w:styleId="ListLabel76">
    <w:name w:val="ListLabel 76"/>
    <w:qFormat/>
    <w:rPr>
      <w:rFonts w:cs="Symbol"/>
    </w:rPr>
  </w:style>
  <w:style w:type="character" w:styleId="ListLabel77">
    <w:name w:val="ListLabel 77"/>
    <w:qFormat/>
    <w:rPr>
      <w:rFonts w:cs="Courier New"/>
    </w:rPr>
  </w:style>
  <w:style w:type="character" w:styleId="ListLabel78">
    <w:name w:val="ListLabel 78"/>
    <w:qFormat/>
    <w:rPr>
      <w:rFonts w:cs="Wingdings"/>
    </w:rPr>
  </w:style>
  <w:style w:type="character" w:styleId="ListLabel79">
    <w:name w:val="ListLabel 79"/>
    <w:qFormat/>
    <w:rPr>
      <w:rFonts w:ascii="Times New Roman" w:hAnsi="Times New Roman" w:eastAsia="Calibri"/>
      <w:b/>
      <w:sz w:val="28"/>
    </w:rPr>
  </w:style>
  <w:style w:type="character" w:styleId="ListLabel80">
    <w:name w:val="ListLabel 80"/>
    <w:qFormat/>
    <w:rPr>
      <w:rFonts w:eastAsia="Calibri"/>
    </w:rPr>
  </w:style>
  <w:style w:type="character" w:styleId="ListLabel81">
    <w:name w:val="ListLabel 81"/>
    <w:qFormat/>
    <w:rPr>
      <w:rFonts w:eastAsia="Calibri"/>
    </w:rPr>
  </w:style>
  <w:style w:type="character" w:styleId="ListLabel82">
    <w:name w:val="ListLabel 82"/>
    <w:qFormat/>
    <w:rPr>
      <w:rFonts w:eastAsia="Calibri"/>
    </w:rPr>
  </w:style>
  <w:style w:type="character" w:styleId="ListLabel83">
    <w:name w:val="ListLabel 83"/>
    <w:qFormat/>
    <w:rPr>
      <w:rFonts w:eastAsia="Calibri"/>
    </w:rPr>
  </w:style>
  <w:style w:type="character" w:styleId="ListLabel84">
    <w:name w:val="ListLabel 84"/>
    <w:qFormat/>
    <w:rPr>
      <w:rFonts w:eastAsia="Calibri"/>
    </w:rPr>
  </w:style>
  <w:style w:type="character" w:styleId="ListLabel85">
    <w:name w:val="ListLabel 85"/>
    <w:qFormat/>
    <w:rPr>
      <w:rFonts w:eastAsia="Calibri"/>
    </w:rPr>
  </w:style>
  <w:style w:type="character" w:styleId="ListLabel86">
    <w:name w:val="ListLabel 86"/>
    <w:qFormat/>
    <w:rPr>
      <w:rFonts w:eastAsia="Calibri"/>
    </w:rPr>
  </w:style>
  <w:style w:type="character" w:styleId="ListLabel87">
    <w:name w:val="ListLabel 87"/>
    <w:qFormat/>
    <w:rPr>
      <w:b/>
      <w:sz w:val="28"/>
    </w:rPr>
  </w:style>
  <w:style w:type="character" w:styleId="ListLabel88">
    <w:name w:val="ListLabel 88"/>
    <w:qFormat/>
    <w:rPr>
      <w:color w:val="auto"/>
      <w:sz w:val="28"/>
    </w:rPr>
  </w:style>
  <w:style w:type="character" w:styleId="ListLabel89">
    <w:name w:val="ListLabel 89"/>
    <w:qFormat/>
    <w:rPr>
      <w:color w:val="auto"/>
    </w:rPr>
  </w:style>
  <w:style w:type="character" w:styleId="ListLabel90">
    <w:name w:val="ListLabel 90"/>
    <w:qFormat/>
    <w:rPr>
      <w:color w:val="auto"/>
    </w:rPr>
  </w:style>
  <w:style w:type="character" w:styleId="ListLabel91">
    <w:name w:val="ListLabel 91"/>
    <w:qFormat/>
    <w:rPr>
      <w:color w:val="auto"/>
    </w:rPr>
  </w:style>
  <w:style w:type="character" w:styleId="ListLabel92">
    <w:name w:val="ListLabel 92"/>
    <w:qFormat/>
    <w:rPr>
      <w:color w:val="auto"/>
    </w:rPr>
  </w:style>
  <w:style w:type="character" w:styleId="ListLabel93">
    <w:name w:val="ListLabel 93"/>
    <w:qFormat/>
    <w:rPr>
      <w:color w:val="auto"/>
    </w:rPr>
  </w:style>
  <w:style w:type="character" w:styleId="ListLabel94">
    <w:name w:val="ListLabel 94"/>
    <w:qFormat/>
    <w:rPr>
      <w:color w:val="auto"/>
    </w:rPr>
  </w:style>
  <w:style w:type="character" w:styleId="ListLabel95">
    <w:name w:val="ListLabel 95"/>
    <w:qFormat/>
    <w:rPr>
      <w:color w:val="auto"/>
    </w:rPr>
  </w:style>
  <w:style w:type="character" w:styleId="ListLabel96">
    <w:name w:val="ListLabel 96"/>
    <w:qFormat/>
    <w:rPr>
      <w:b/>
    </w:rPr>
  </w:style>
  <w:style w:type="character" w:styleId="ListLabel97">
    <w:name w:val="ListLabel 97"/>
    <w:qFormat/>
    <w:rPr>
      <w:color w:val="auto"/>
      <w:sz w:val="28"/>
      <w:szCs w:val="28"/>
    </w:rPr>
  </w:style>
  <w:style w:type="character" w:styleId="ListLabel98">
    <w:name w:val="ListLabel 98"/>
    <w:qFormat/>
    <w:rPr>
      <w:color w:val="auto"/>
    </w:rPr>
  </w:style>
  <w:style w:type="character" w:styleId="ListLabel99">
    <w:name w:val="ListLabel 99"/>
    <w:qFormat/>
    <w:rPr>
      <w:color w:val="auto"/>
    </w:rPr>
  </w:style>
  <w:style w:type="character" w:styleId="ListLabel100">
    <w:name w:val="ListLabel 100"/>
    <w:qFormat/>
    <w:rPr>
      <w:color w:val="auto"/>
    </w:rPr>
  </w:style>
  <w:style w:type="character" w:styleId="ListLabel101">
    <w:name w:val="ListLabel 101"/>
    <w:qFormat/>
    <w:rPr>
      <w:color w:val="auto"/>
    </w:rPr>
  </w:style>
  <w:style w:type="character" w:styleId="ListLabel102">
    <w:name w:val="ListLabel 102"/>
    <w:qFormat/>
    <w:rPr>
      <w:color w:val="auto"/>
    </w:rPr>
  </w:style>
  <w:style w:type="character" w:styleId="ListLabel103">
    <w:name w:val="ListLabel 103"/>
    <w:qFormat/>
    <w:rPr>
      <w:color w:val="auto"/>
    </w:rPr>
  </w:style>
  <w:style w:type="character" w:styleId="ListLabel104">
    <w:name w:val="ListLabel 104"/>
    <w:qFormat/>
    <w:rPr>
      <w:color w:val="auto"/>
    </w:rPr>
  </w:style>
  <w:style w:type="character" w:styleId="ListLabel105">
    <w:name w:val="ListLabel 105"/>
    <w:qFormat/>
    <w:rPr>
      <w:rFonts w:cs="Symbol"/>
      <w:sz w:val="28"/>
    </w:rPr>
  </w:style>
  <w:style w:type="character" w:styleId="ListLabel106">
    <w:name w:val="ListLabel 106"/>
    <w:qFormat/>
    <w:rPr>
      <w:rFonts w:cs="Courier New"/>
    </w:rPr>
  </w:style>
  <w:style w:type="character" w:styleId="ListLabel107">
    <w:name w:val="ListLabel 107"/>
    <w:qFormat/>
    <w:rPr>
      <w:rFonts w:cs="Wingdings"/>
    </w:rPr>
  </w:style>
  <w:style w:type="character" w:styleId="ListLabel108">
    <w:name w:val="ListLabel 108"/>
    <w:qFormat/>
    <w:rPr>
      <w:rFonts w:cs="Symbol"/>
    </w:rPr>
  </w:style>
  <w:style w:type="character" w:styleId="ListLabel109">
    <w:name w:val="ListLabel 109"/>
    <w:qFormat/>
    <w:rPr>
      <w:rFonts w:cs="Courier New"/>
    </w:rPr>
  </w:style>
  <w:style w:type="character" w:styleId="ListLabel110">
    <w:name w:val="ListLabel 110"/>
    <w:qFormat/>
    <w:rPr>
      <w:rFonts w:cs="Wingdings"/>
    </w:rPr>
  </w:style>
  <w:style w:type="character" w:styleId="ListLabel111">
    <w:name w:val="ListLabel 111"/>
    <w:qFormat/>
    <w:rPr>
      <w:rFonts w:cs="Symbol"/>
    </w:rPr>
  </w:style>
  <w:style w:type="character" w:styleId="ListLabel112">
    <w:name w:val="ListLabel 112"/>
    <w:qFormat/>
    <w:rPr>
      <w:rFonts w:cs="Courier New"/>
    </w:rPr>
  </w:style>
  <w:style w:type="character" w:styleId="ListLabel113">
    <w:name w:val="ListLabel 113"/>
    <w:qFormat/>
    <w:rPr>
      <w:rFonts w:cs="Wingdings"/>
    </w:rPr>
  </w:style>
  <w:style w:type="character" w:styleId="ListLabel114">
    <w:name w:val="ListLabel 114"/>
    <w:qFormat/>
    <w:rPr>
      <w:rFonts w:cs="Symbol"/>
      <w:sz w:val="28"/>
    </w:rPr>
  </w:style>
  <w:style w:type="character" w:styleId="ListLabel115">
    <w:name w:val="ListLabel 115"/>
    <w:qFormat/>
    <w:rPr>
      <w:rFonts w:cs="Courier New"/>
    </w:rPr>
  </w:style>
  <w:style w:type="character" w:styleId="ListLabel116">
    <w:name w:val="ListLabel 116"/>
    <w:qFormat/>
    <w:rPr>
      <w:rFonts w:cs="Wingdings"/>
    </w:rPr>
  </w:style>
  <w:style w:type="character" w:styleId="ListLabel117">
    <w:name w:val="ListLabel 117"/>
    <w:qFormat/>
    <w:rPr>
      <w:rFonts w:cs="Symbol"/>
    </w:rPr>
  </w:style>
  <w:style w:type="character" w:styleId="ListLabel118">
    <w:name w:val="ListLabel 118"/>
    <w:qFormat/>
    <w:rPr>
      <w:rFonts w:cs="Courier New"/>
    </w:rPr>
  </w:style>
  <w:style w:type="character" w:styleId="ListLabel119">
    <w:name w:val="ListLabel 119"/>
    <w:qFormat/>
    <w:rPr>
      <w:rFonts w:cs="Wingdings"/>
    </w:rPr>
  </w:style>
  <w:style w:type="character" w:styleId="ListLabel120">
    <w:name w:val="ListLabel 120"/>
    <w:qFormat/>
    <w:rPr>
      <w:rFonts w:cs="Symbol"/>
    </w:rPr>
  </w:style>
  <w:style w:type="character" w:styleId="ListLabel121">
    <w:name w:val="ListLabel 121"/>
    <w:qFormat/>
    <w:rPr>
      <w:rFonts w:cs="Courier New"/>
    </w:rPr>
  </w:style>
  <w:style w:type="character" w:styleId="ListLabel122">
    <w:name w:val="ListLabel 122"/>
    <w:qFormat/>
    <w:rPr>
      <w:rFonts w:cs="Wingdings"/>
    </w:rPr>
  </w:style>
  <w:style w:type="character" w:styleId="ListLabel123">
    <w:name w:val="ListLabel 123"/>
    <w:qFormat/>
    <w:rPr>
      <w:rFonts w:ascii="Times New Roman" w:hAnsi="Times New Roman" w:eastAsia="Calibri"/>
      <w:b/>
      <w:sz w:val="28"/>
    </w:rPr>
  </w:style>
  <w:style w:type="character" w:styleId="ListLabel124">
    <w:name w:val="ListLabel 124"/>
    <w:qFormat/>
    <w:rPr>
      <w:rFonts w:eastAsia="Calibri"/>
    </w:rPr>
  </w:style>
  <w:style w:type="character" w:styleId="ListLabel125">
    <w:name w:val="ListLabel 125"/>
    <w:qFormat/>
    <w:rPr>
      <w:rFonts w:eastAsia="Calibri"/>
    </w:rPr>
  </w:style>
  <w:style w:type="character" w:styleId="ListLabel126">
    <w:name w:val="ListLabel 126"/>
    <w:qFormat/>
    <w:rPr>
      <w:rFonts w:eastAsia="Calibri"/>
    </w:rPr>
  </w:style>
  <w:style w:type="character" w:styleId="ListLabel127">
    <w:name w:val="ListLabel 127"/>
    <w:qFormat/>
    <w:rPr>
      <w:rFonts w:eastAsia="Calibri"/>
    </w:rPr>
  </w:style>
  <w:style w:type="character" w:styleId="ListLabel128">
    <w:name w:val="ListLabel 128"/>
    <w:qFormat/>
    <w:rPr>
      <w:rFonts w:eastAsia="Calibri"/>
    </w:rPr>
  </w:style>
  <w:style w:type="character" w:styleId="ListLabel129">
    <w:name w:val="ListLabel 129"/>
    <w:qFormat/>
    <w:rPr>
      <w:rFonts w:eastAsia="Calibri"/>
    </w:rPr>
  </w:style>
  <w:style w:type="character" w:styleId="ListLabel130">
    <w:name w:val="ListLabel 130"/>
    <w:qFormat/>
    <w:rPr>
      <w:rFonts w:eastAsia="Calibri"/>
    </w:rPr>
  </w:style>
  <w:style w:type="character" w:styleId="ListLabel131">
    <w:name w:val="ListLabel 131"/>
    <w:qFormat/>
    <w:rPr>
      <w:b/>
      <w:sz w:val="28"/>
    </w:rPr>
  </w:style>
  <w:style w:type="character" w:styleId="ListLabel132">
    <w:name w:val="ListLabel 132"/>
    <w:qFormat/>
    <w:rPr>
      <w:color w:val="auto"/>
      <w:sz w:val="28"/>
    </w:rPr>
  </w:style>
  <w:style w:type="character" w:styleId="ListLabel133">
    <w:name w:val="ListLabel 133"/>
    <w:qFormat/>
    <w:rPr>
      <w:color w:val="auto"/>
    </w:rPr>
  </w:style>
  <w:style w:type="character" w:styleId="ListLabel134">
    <w:name w:val="ListLabel 134"/>
    <w:qFormat/>
    <w:rPr>
      <w:color w:val="auto"/>
    </w:rPr>
  </w:style>
  <w:style w:type="character" w:styleId="ListLabel135">
    <w:name w:val="ListLabel 135"/>
    <w:qFormat/>
    <w:rPr>
      <w:color w:val="auto"/>
    </w:rPr>
  </w:style>
  <w:style w:type="character" w:styleId="ListLabel136">
    <w:name w:val="ListLabel 136"/>
    <w:qFormat/>
    <w:rPr>
      <w:color w:val="auto"/>
    </w:rPr>
  </w:style>
  <w:style w:type="character" w:styleId="ListLabel137">
    <w:name w:val="ListLabel 137"/>
    <w:qFormat/>
    <w:rPr>
      <w:color w:val="auto"/>
    </w:rPr>
  </w:style>
  <w:style w:type="character" w:styleId="ListLabel138">
    <w:name w:val="ListLabel 138"/>
    <w:qFormat/>
    <w:rPr>
      <w:color w:val="auto"/>
    </w:rPr>
  </w:style>
  <w:style w:type="character" w:styleId="ListLabel139">
    <w:name w:val="ListLabel 139"/>
    <w:qFormat/>
    <w:rPr>
      <w:color w:val="auto"/>
    </w:rPr>
  </w:style>
  <w:style w:type="character" w:styleId="ListLabel140">
    <w:name w:val="ListLabel 140"/>
    <w:qFormat/>
    <w:rPr>
      <w:b/>
    </w:rPr>
  </w:style>
  <w:style w:type="character" w:styleId="ListLabel141">
    <w:name w:val="ListLabel 141"/>
    <w:qFormat/>
    <w:rPr>
      <w:color w:val="auto"/>
      <w:sz w:val="28"/>
      <w:szCs w:val="28"/>
    </w:rPr>
  </w:style>
  <w:style w:type="character" w:styleId="ListLabel142">
    <w:name w:val="ListLabel 142"/>
    <w:qFormat/>
    <w:rPr>
      <w:color w:val="auto"/>
    </w:rPr>
  </w:style>
  <w:style w:type="character" w:styleId="ListLabel143">
    <w:name w:val="ListLabel 143"/>
    <w:qFormat/>
    <w:rPr>
      <w:color w:val="auto"/>
    </w:rPr>
  </w:style>
  <w:style w:type="character" w:styleId="ListLabel144">
    <w:name w:val="ListLabel 144"/>
    <w:qFormat/>
    <w:rPr>
      <w:color w:val="auto"/>
    </w:rPr>
  </w:style>
  <w:style w:type="character" w:styleId="ListLabel145">
    <w:name w:val="ListLabel 145"/>
    <w:qFormat/>
    <w:rPr>
      <w:color w:val="auto"/>
    </w:rPr>
  </w:style>
  <w:style w:type="character" w:styleId="ListLabel146">
    <w:name w:val="ListLabel 146"/>
    <w:qFormat/>
    <w:rPr>
      <w:color w:val="auto"/>
    </w:rPr>
  </w:style>
  <w:style w:type="character" w:styleId="ListLabel147">
    <w:name w:val="ListLabel 147"/>
    <w:qFormat/>
    <w:rPr>
      <w:color w:val="auto"/>
    </w:rPr>
  </w:style>
  <w:style w:type="character" w:styleId="ListLabel148">
    <w:name w:val="ListLabel 148"/>
    <w:qFormat/>
    <w:rPr>
      <w:color w:val="auto"/>
    </w:rPr>
  </w:style>
  <w:style w:type="character" w:styleId="ListLabel149">
    <w:name w:val="ListLabel 149"/>
    <w:qFormat/>
    <w:rPr>
      <w:rFonts w:cs="Symbol"/>
      <w:sz w:val="28"/>
    </w:rPr>
  </w:style>
  <w:style w:type="character" w:styleId="ListLabel150">
    <w:name w:val="ListLabel 150"/>
    <w:qFormat/>
    <w:rPr>
      <w:rFonts w:cs="Courier New"/>
    </w:rPr>
  </w:style>
  <w:style w:type="character" w:styleId="ListLabel151">
    <w:name w:val="ListLabel 151"/>
    <w:qFormat/>
    <w:rPr>
      <w:rFonts w:cs="Wingdings"/>
    </w:rPr>
  </w:style>
  <w:style w:type="character" w:styleId="ListLabel152">
    <w:name w:val="ListLabel 152"/>
    <w:qFormat/>
    <w:rPr>
      <w:rFonts w:cs="Symbol"/>
    </w:rPr>
  </w:style>
  <w:style w:type="character" w:styleId="ListLabel153">
    <w:name w:val="ListLabel 153"/>
    <w:qFormat/>
    <w:rPr>
      <w:rFonts w:cs="Courier New"/>
    </w:rPr>
  </w:style>
  <w:style w:type="character" w:styleId="ListLabel154">
    <w:name w:val="ListLabel 154"/>
    <w:qFormat/>
    <w:rPr>
      <w:rFonts w:cs="Wingdings"/>
    </w:rPr>
  </w:style>
  <w:style w:type="character" w:styleId="ListLabel155">
    <w:name w:val="ListLabel 155"/>
    <w:qFormat/>
    <w:rPr>
      <w:rFonts w:cs="Symbol"/>
    </w:rPr>
  </w:style>
  <w:style w:type="character" w:styleId="ListLabel156">
    <w:name w:val="ListLabel 156"/>
    <w:qFormat/>
    <w:rPr>
      <w:rFonts w:cs="Courier New"/>
    </w:rPr>
  </w:style>
  <w:style w:type="character" w:styleId="ListLabel157">
    <w:name w:val="ListLabel 157"/>
    <w:qFormat/>
    <w:rPr>
      <w:rFonts w:cs="Wingdings"/>
    </w:rPr>
  </w:style>
  <w:style w:type="character" w:styleId="ListLabel158">
    <w:name w:val="ListLabel 158"/>
    <w:qFormat/>
    <w:rPr>
      <w:rFonts w:cs="Symbol"/>
      <w:sz w:val="28"/>
    </w:rPr>
  </w:style>
  <w:style w:type="character" w:styleId="ListLabel159">
    <w:name w:val="ListLabel 159"/>
    <w:qFormat/>
    <w:rPr>
      <w:rFonts w:cs="Courier New"/>
    </w:rPr>
  </w:style>
  <w:style w:type="character" w:styleId="ListLabel160">
    <w:name w:val="ListLabel 160"/>
    <w:qFormat/>
    <w:rPr>
      <w:rFonts w:cs="Wingdings"/>
    </w:rPr>
  </w:style>
  <w:style w:type="character" w:styleId="ListLabel161">
    <w:name w:val="ListLabel 161"/>
    <w:qFormat/>
    <w:rPr>
      <w:rFonts w:cs="Symbol"/>
    </w:rPr>
  </w:style>
  <w:style w:type="character" w:styleId="ListLabel162">
    <w:name w:val="ListLabel 162"/>
    <w:qFormat/>
    <w:rPr>
      <w:rFonts w:cs="Courier New"/>
    </w:rPr>
  </w:style>
  <w:style w:type="character" w:styleId="ListLabel163">
    <w:name w:val="ListLabel 163"/>
    <w:qFormat/>
    <w:rPr>
      <w:rFonts w:cs="Wingdings"/>
    </w:rPr>
  </w:style>
  <w:style w:type="character" w:styleId="ListLabel164">
    <w:name w:val="ListLabel 164"/>
    <w:qFormat/>
    <w:rPr>
      <w:rFonts w:cs="Symbol"/>
    </w:rPr>
  </w:style>
  <w:style w:type="character" w:styleId="ListLabel165">
    <w:name w:val="ListLabel 165"/>
    <w:qFormat/>
    <w:rPr>
      <w:rFonts w:cs="Courier New"/>
    </w:rPr>
  </w:style>
  <w:style w:type="character" w:styleId="ListLabel166">
    <w:name w:val="ListLabel 166"/>
    <w:qFormat/>
    <w:rPr>
      <w:rFonts w:cs="Wingdings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6"/>
    <w:qFormat/>
    <w:rsid w:val="0000101e"/>
    <w:pPr/>
    <w:rPr>
      <w:rFonts w:ascii="Tahoma" w:hAnsi="Tahoma"/>
      <w:sz w:val="16"/>
      <w:szCs w:val="16"/>
    </w:rPr>
  </w:style>
  <w:style w:type="paragraph" w:styleId="ConsPlusNormal" w:customStyle="1">
    <w:name w:val="ConsPlusNormal"/>
    <w:qFormat/>
    <w:rsid w:val="00d64b2b"/>
    <w:pPr>
      <w:widowControl/>
      <w:bidi w:val="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ru-RU" w:bidi="ar-SA"/>
    </w:rPr>
  </w:style>
  <w:style w:type="paragraph" w:styleId="Default" w:customStyle="1">
    <w:name w:val="Default"/>
    <w:qFormat/>
    <w:rsid w:val="00d64b2b"/>
    <w:pPr>
      <w:widowControl/>
      <w:bidi w:val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ConsPlusDocList" w:customStyle="1">
    <w:name w:val="ConsPlusDocList"/>
    <w:next w:val="Normal"/>
    <w:qFormat/>
    <w:rsid w:val="00d64b2b"/>
    <w:pPr>
      <w:widowControl w:val="false"/>
      <w:suppressAutoHyphens w:val="true"/>
      <w:bidi w:val="0"/>
      <w:jc w:val="left"/>
    </w:pPr>
    <w:rPr>
      <w:rFonts w:ascii="Arial" w:hAnsi="Arial" w:eastAsia="Arial" w:cs="Arial"/>
      <w:color w:val="auto"/>
      <w:kern w:val="2"/>
      <w:sz w:val="24"/>
      <w:szCs w:val="20"/>
      <w:lang w:val="ru-RU" w:eastAsia="hi-IN" w:bidi="hi-IN"/>
    </w:rPr>
  </w:style>
  <w:style w:type="paragraph" w:styleId="Style24">
    <w:name w:val="Header"/>
    <w:basedOn w:val="Normal"/>
    <w:link w:val="a8"/>
    <w:uiPriority w:val="99"/>
    <w:rsid w:val="00b75a4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Normal"/>
    <w:link w:val="aa"/>
    <w:rsid w:val="00b75a4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uiPriority w:val="99"/>
    <w:unhideWhenUsed/>
    <w:qFormat/>
    <w:rsid w:val="00b60d3e"/>
    <w:pPr>
      <w:spacing w:beforeAutospacing="1" w:afterAutospacing="1"/>
    </w:pPr>
    <w:rPr/>
  </w:style>
  <w:style w:type="paragraph" w:styleId="2" w:customStyle="1">
    <w:name w:val="Знак Знак2"/>
    <w:basedOn w:val="Normal"/>
    <w:qFormat/>
    <w:rsid w:val="00a90d54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ConsPlusTitle" w:customStyle="1">
    <w:name w:val="ConsPlusTitle"/>
    <w:qFormat/>
    <w:rsid w:val="00ac02a4"/>
    <w:pPr>
      <w:widowControl w:val="false"/>
      <w:bidi w:val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paragraph" w:styleId="13" w:customStyle="1">
    <w:name w:val="Основной текст1"/>
    <w:basedOn w:val="Normal"/>
    <w:link w:val="ad"/>
    <w:qFormat/>
    <w:rsid w:val="00ac02a4"/>
    <w:pPr>
      <w:shd w:val="clear" w:color="auto" w:fill="FFFFFF"/>
      <w:spacing w:lineRule="exact" w:line="317" w:before="0" w:after="600"/>
      <w:jc w:val="center"/>
    </w:pPr>
    <w:rPr>
      <w:sz w:val="27"/>
      <w:szCs w:val="27"/>
    </w:rPr>
  </w:style>
  <w:style w:type="paragraph" w:styleId="ListParagraph">
    <w:name w:val="List Paragraph"/>
    <w:basedOn w:val="Normal"/>
    <w:uiPriority w:val="34"/>
    <w:qFormat/>
    <w:rsid w:val="00ac02a4"/>
    <w:pPr>
      <w:spacing w:before="0" w:after="0"/>
      <w:ind w:left="720" w:hanging="0"/>
      <w:contextualSpacing/>
    </w:pPr>
    <w:rPr/>
  </w:style>
  <w:style w:type="paragraph" w:styleId="BlockQuotation" w:customStyle="1">
    <w:name w:val="Block Quotation"/>
    <w:basedOn w:val="Normal"/>
    <w:qFormat/>
    <w:rsid w:val="00ac02a4"/>
    <w:pPr>
      <w:widowControl w:val="false"/>
      <w:overflowPunct w:val="false"/>
      <w:ind w:left="567" w:right="-2" w:firstLine="851"/>
      <w:jc w:val="both"/>
      <w:textAlignment w:val="baseline"/>
    </w:pPr>
    <w:rPr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rsid w:val="006317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header" Target="header1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Application>LibreOffice/6.1.4.2$Windows_X86_64 LibreOffice_project/9d0f32d1f0b509096fd65e0d4bec26ddd1938fd3</Application>
  <Pages>11</Pages>
  <Words>2120</Words>
  <Characters>17015</Characters>
  <CharactersWithSpaces>19634</CharactersWithSpaces>
  <Paragraphs>119</Paragraphs>
  <Company>Администрация муниципального района Ставропольский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2021-04-07T07:21:00Z</dcterms:created>
  <dc:creator>Машбюро</dc:creator>
  <dc:description/>
  <dc:language>ru-RU</dc:language>
  <cp:lastModifiedBy/>
  <cp:lastPrinted>2022-11-21T10:45:43Z</cp:lastPrinted>
  <dcterms:modified xsi:type="dcterms:W3CDTF">2022-11-21T10:49:24Z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Администрация муниципального района Ставропольский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