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mbeddings/oleObject1.bin" ContentType="application/vnd.openxmlformats-officedocument.oleObject"/>
  <Override PartName="/word/diagrams/data3.xml" ContentType="application/vnd.openxmlformats-officedocument.drawingml.diagramData+xml"/>
  <Override PartName="/word/diagrams/colors3.xml" ContentType="application/vnd.openxmlformats-officedocument.drawingml.diagramColors+xml"/>
  <Override PartName="/word/diagrams/quickStyle3.xml" ContentType="application/vnd.openxmlformats-officedocument.drawingml.diagramStyle+xml"/>
  <Override PartName="/word/diagrams/layout3.xml" ContentType="application/vnd.openxmlformats-officedocument.drawingml.diagramLayout+xml"/>
  <Override PartName="/word/diagrams/drawing3.xml" ContentType="application/vnd.ms-office.drawingml.diagramDrawing+xml"/>
  <Override PartName="/word/footnotes.xml" ContentType="application/vnd.openxmlformats-officedocument.wordprocessingml.footnotes+xml"/>
  <Override PartName="/word/media/image1.emf" ContentType="image/x-emf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b/>
          <w:b/>
          <w:sz w:val="40"/>
          <w:szCs w:val="40"/>
          <w:highlight w:val="lightGray"/>
        </w:rPr>
      </w:pPr>
      <w:bookmarkStart w:id="0" w:name="_GoBack"/>
      <w:bookmarkEnd w:id="0"/>
      <w:r>
        <w:rPr>
          <w:b/>
          <w:sz w:val="40"/>
          <w:szCs w:val="40"/>
          <w:highlight w:val="lightGray"/>
        </w:rPr>
        <w:t xml:space="preserve">Администрация ___________________ </w:t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  <w:highlight w:val="lightGray"/>
          <w:u w:val="single"/>
        </w:rPr>
        <w:t>предупреждает об опасности</w:t>
      </w:r>
      <w:r>
        <w:rPr>
          <w:b/>
          <w:sz w:val="40"/>
          <w:szCs w:val="40"/>
          <w:highlight w:val="lightGray"/>
        </w:rPr>
        <w:t>!</w:t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</w:r>
    </w:p>
    <w:p>
      <w:pPr>
        <w:pStyle w:val="Normal"/>
        <w:jc w:val="center"/>
        <w:rPr>
          <w:rFonts w:ascii="Calibri" w:hAnsi="Calibri" w:asciiTheme="minorHAnsi" w:hAnsiTheme="minorHAnsi"/>
          <w:b/>
          <w:b/>
          <w:sz w:val="32"/>
          <w:szCs w:val="32"/>
        </w:rPr>
      </w:pPr>
      <w:r>
        <w:rPr>
          <w:rFonts w:ascii="Calibri" w:hAnsi="Calibri" w:asciiTheme="minorHAnsi" w:hAnsiTheme="minorHAnsi"/>
          <w:b/>
          <w:sz w:val="32"/>
          <w:szCs w:val="32"/>
        </w:rPr>
        <w:t>Ваша квартира оборудована газовым водонагревателем (колонкой),</w:t>
      </w:r>
    </w:p>
    <w:p>
      <w:pPr>
        <w:pStyle w:val="Normal"/>
        <w:jc w:val="center"/>
        <w:rPr>
          <w:rFonts w:ascii="Calibri" w:hAnsi="Calibri" w:asciiTheme="minorHAnsi" w:hAnsiTheme="minorHAnsi"/>
          <w:b/>
          <w:b/>
          <w:sz w:val="32"/>
          <w:szCs w:val="32"/>
        </w:rPr>
      </w:pPr>
      <w:r>
        <w:rPr>
          <w:rFonts w:ascii="Calibri" w:hAnsi="Calibri" w:asciiTheme="minorHAnsi" w:hAnsiTheme="minorHAnsi"/>
          <w:b/>
          <w:sz w:val="32"/>
          <w:szCs w:val="32"/>
        </w:rPr>
        <w:t>и установлены принудительная вытяжка над плитой и (или) вентилятор в ванной комнате?</w:t>
      </w:r>
    </w:p>
    <w:p>
      <w:pPr>
        <w:pStyle w:val="Normal"/>
        <w:jc w:val="center"/>
        <w:rPr>
          <w:b/>
          <w:b/>
          <w:sz w:val="40"/>
          <w:szCs w:val="40"/>
        </w:rPr>
      </w:pPr>
      <w:r>
        <w:rPr>
          <w:b/>
          <w:sz w:val="40"/>
          <w:szCs w:val="40"/>
        </w:rPr>
        <w:t>ОСТОРОЖНО!</w:t>
      </w:r>
    </w:p>
    <w:p>
      <w:pPr>
        <w:pStyle w:val="Normal"/>
        <w:jc w:val="center"/>
        <w:rPr/>
      </w:pPr>
      <w:r>
        <w:rPr/>
        <mc:AlternateContent>
          <mc:Choice Requires="wps">
            <w:drawing>
              <wp:inline distT="0" distB="0" distL="0" distR="0" wp14:anchorId="14EAAFB4">
                <wp:extent cx="6646545" cy="1328420"/>
                <wp:effectExtent l="0" t="0" r="21590" b="24765"/>
                <wp:docPr id="1" name="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5960" cy="132768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1"/>
                        </a:solidFill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a5"/>
                              <w:tblW w:w="10173" w:type="dxa"/>
                              <w:jc w:val="center"/>
                              <w:tblInd w:w="0" w:type="dxa"/>
                              <w:shd w:fill="000000" w:val="clear"/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783"/>
                              <w:gridCol w:w="9389"/>
                            </w:tblGrid>
                            <w:tr>
                              <w:trPr/>
                              <w:tc>
                                <w:tcPr>
                                  <w:tcW w:w="783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  <w:insideH w:val="nil"/>
                                    <w:insideV w:val="nil"/>
                                  </w:tcBorders>
                                  <w:shd w:color="auto" w:fill="000000" w:themeFill="text1" w:val="clear"/>
                                  <w:vAlign w:val="center"/>
                                </w:tcPr>
                                <w:p>
                                  <w:pPr>
                                    <w:pStyle w:val="Style29"/>
                                    <w:tabs>
                                      <w:tab w:val="clear" w:pos="708"/>
                                      <w:tab w:val="left" w:pos="1080" w:leader="none"/>
                                    </w:tabs>
                                    <w:spacing w:lineRule="auto" w:line="240" w:before="120" w:after="0"/>
                                    <w:jc w:val="center"/>
                                    <w:rPr>
                                      <w:sz w:val="170"/>
                                      <w:szCs w:val="170"/>
                                    </w:rPr>
                                  </w:pPr>
                                  <w:r>
                                    <w:rPr>
                                      <w:rFonts w:eastAsia="Times New Roman" w:cs="Times New Roman"/>
                                      <w:color w:val="FFFFFF" w:themeColor="background1"/>
                                      <w:sz w:val="170"/>
                                      <w:szCs w:val="170"/>
                                      <w:lang w:eastAsia="ru-RU"/>
                                    </w:rPr>
                                    <w:t>!</w:t>
                                  </w:r>
                                </w:p>
                              </w:tc>
                              <w:tc>
                                <w:tcPr>
                                  <w:tcW w:w="9389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  <w:insideH w:val="nil"/>
                                    <w:insideV w:val="nil"/>
                                  </w:tcBorders>
                                  <w:shd w:color="auto" w:fill="000000" w:themeFill="text1" w:val="clear"/>
                                </w:tcPr>
                                <w:p>
                                  <w:pPr>
                                    <w:pStyle w:val="Style29"/>
                                    <w:tabs>
                                      <w:tab w:val="clear" w:pos="708"/>
                                      <w:tab w:val="left" w:pos="1080" w:leader="none"/>
                                    </w:tabs>
                                    <w:spacing w:lineRule="auto" w:line="240" w:before="120" w:after="0"/>
                                    <w:jc w:val="both"/>
                                    <w:rPr>
                                      <w:rFonts w:ascii="Times New Roman" w:hAnsi="Times New Roman" w:eastAsia="Times New Roman"/>
                                      <w:szCs w:val="20"/>
                                      <w:lang w:eastAsia="ru-RU"/>
                                    </w:rPr>
                                  </w:pPr>
                                  <w:r>
                                    <w:rPr>
                                      <w:rFonts w:eastAsia="Times New Roman" w:cs="Aharoni"/>
                                      <w:color w:val="FFFFFF" w:themeColor="background1"/>
                                      <w:szCs w:val="20"/>
                                      <w:lang w:eastAsia="ru-RU"/>
                                    </w:rPr>
                                    <w:t>продолжительная работа</w:t>
                                  </w:r>
                                  <w:r>
                                    <w:rPr>
                                      <w:rFonts w:eastAsia="Times New Roman" w:cs="Aharoni"/>
                                      <w:b/>
                                      <w:color w:val="FFFFFF" w:themeColor="background1"/>
                                      <w:szCs w:val="20"/>
                                      <w:lang w:eastAsia="ru-RU"/>
                                    </w:rPr>
                                    <w:t xml:space="preserve"> принудительной вытяжки </w:t>
                                  </w:r>
                                  <w:r>
                                    <w:rPr>
                                      <w:rFonts w:eastAsia="Times New Roman" w:cs="Aharoni"/>
                                      <w:color w:val="FFFFFF" w:themeColor="background1"/>
                                      <w:szCs w:val="20"/>
                                      <w:lang w:eastAsia="ru-RU"/>
                                    </w:rPr>
                                    <w:t>над плитой и</w:t>
                                  </w:r>
                                  <w:r>
                                    <w:rPr>
                                      <w:rFonts w:eastAsia="Times New Roman" w:cs="Aharoni"/>
                                      <w:b/>
                                      <w:color w:val="FFFFFF" w:themeColor="background1"/>
                                      <w:szCs w:val="20"/>
                                      <w:lang w:eastAsia="ru-RU"/>
                                    </w:rPr>
                                    <w:t xml:space="preserve"> вытяжного вентилятора</w:t>
                                  </w:r>
                                  <w:r>
                                    <w:rPr>
                                      <w:rFonts w:eastAsia="Times New Roman" w:cs="Aharoni"/>
                                      <w:color w:val="FFFFFF" w:themeColor="background1"/>
                                      <w:szCs w:val="20"/>
                                      <w:lang w:eastAsia="ru-RU"/>
                                    </w:rPr>
      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      </w:r>
                                  <w:r>
                                    <w:rPr>
                                      <w:rFonts w:eastAsia="Times New Roman" w:cs="Aharoni"/>
                                      <w:b/>
                                      <w:color w:val="FFFFFF" w:themeColor="background1"/>
                                      <w:szCs w:val="20"/>
                                      <w:lang w:eastAsia="ru-RU"/>
                                    </w:rPr>
                                    <w:t>(закрытые пластиковые окна)</w:t>
                                  </w:r>
                                  <w:r>
                                    <w:rPr>
                                      <w:rFonts w:eastAsia="Times New Roman" w:cs="Aharoni"/>
                                      <w:color w:val="FFFFFF" w:themeColor="background1"/>
                                      <w:szCs w:val="20"/>
                                      <w:lang w:eastAsia="ru-RU"/>
                                    </w:rPr>
                                    <w:t xml:space="preserve"> приводит к опрокидыванию тяги в дымоходе и попаданию продуктов сгорания (СО) в помещение квартиры и отравлению пострадавших.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Style29"/>
                              <w:tabs>
                                <w:tab w:val="clear" w:pos="708"/>
                                <w:tab w:val="left" w:pos="1080" w:leader="none"/>
                              </w:tabs>
                              <w:spacing w:before="120" w:after="120"/>
                              <w:jc w:val="both"/>
                              <w:rPr/>
                            </w:pPr>
                            <w:r>
                              <w:rPr/>
                            </w:r>
                          </w:p>
                          <w:p>
                            <w:pPr>
                              <w:pStyle w:val="Style29"/>
                              <w:tabs>
                                <w:tab w:val="clear" w:pos="708"/>
                                <w:tab w:val="left" w:pos="1080" w:leader="none"/>
                              </w:tabs>
                              <w:spacing w:before="120" w:after="120"/>
                              <w:jc w:val="both"/>
                              <w:rPr>
                                <w:color w:val="C0C0C0"/>
                              </w:rPr>
                            </w:pPr>
                            <w:r>
                              <w:rPr/>
                              <w:t>.</w:t>
                            </w:r>
                            <w:r>
                              <w:rPr>
                                <w:color w:val="C0C0C0"/>
                              </w:rPr>
                              <w:t xml:space="preserve"> </w:t>
                            </w:r>
                          </w:p>
                          <w:p>
                            <w:pPr>
                              <w:pStyle w:val="Style29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/>
          </mc:Fallback>
        </mc:AlternateContent>
      </w:r>
    </w:p>
    <w:p>
      <w:pPr>
        <w:pStyle w:val="Normal"/>
        <w:jc w:val="center"/>
        <w:rPr/>
      </w:pPr>
      <w:r>
        <w:rPr>
          <w:b/>
          <w:sz w:val="40"/>
          <w:szCs w:val="40"/>
        </w:rPr>
        <w:t>УГАРНЫЙ ГАЗ</w:t>
      </w:r>
    </w:p>
    <w:p>
      <w:pPr>
        <w:pStyle w:val="Normal"/>
        <w:spacing w:before="120" w:after="0"/>
        <w:jc w:val="center"/>
        <w:rPr>
          <w:b/>
          <w:b/>
          <w:sz w:val="28"/>
          <w:szCs w:val="28"/>
        </w:rPr>
      </w:pPr>
      <w:r>
        <w:rPr/>
        <w:drawing>
          <wp:inline distT="0" distB="0" distL="0" distR="0" wp14:anchorId="7E2D725E">
            <wp:extent cx="6782435" cy="882015"/>
            <wp:effectExtent l="0" t="19050" r="19050" b="0"/>
            <wp:docPr id="3" name="Diagram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" r:lo="rId3" r:qs="rId4" r:cs="rId5"/>
              </a:graphicData>
            </a:graphic>
          </wp:inline>
        </w:drawing>
      </w:r>
    </w:p>
    <w:p>
      <w:pPr>
        <w:pStyle w:val="Normal"/>
        <w:spacing w:before="120" w:after="0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С 2006г. в Самарской области зафиксировано более 500 инцидентов, связанных с нарушением Правил пользования газом в быту</w:t>
      </w:r>
    </w:p>
    <w:p>
      <w:pPr>
        <w:pStyle w:val="Normal"/>
        <w:spacing w:before="120" w:after="0"/>
        <w:jc w:val="center"/>
        <w:rPr>
          <w:b/>
          <w:b/>
          <w:sz w:val="28"/>
          <w:szCs w:val="28"/>
        </w:rPr>
      </w:pPr>
      <w:r>
        <w:rPr>
          <w:b/>
          <w:i/>
          <w:sz w:val="32"/>
          <w:szCs w:val="32"/>
        </w:rPr>
        <w:t>От отравления угарным газом</w:t>
      </w:r>
      <w:r>
        <w:rPr>
          <w:b/>
          <w:sz w:val="28"/>
          <w:szCs w:val="28"/>
        </w:rPr>
        <w:t xml:space="preserve"> пострадали более 1 300 человек, из них </w:t>
      </w:r>
      <w:r>
        <w:rPr>
          <w:b/>
          <w:i/>
          <w:sz w:val="32"/>
          <w:szCs w:val="32"/>
        </w:rPr>
        <w:t>190 погибли</w:t>
      </w:r>
    </w:p>
    <w:tbl>
      <w:tblPr>
        <w:tblStyle w:val="a5"/>
        <w:tblW w:w="5000" w:type="pct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11338"/>
      </w:tblGrid>
      <w:tr>
        <w:trPr/>
        <w:tc>
          <w:tcPr>
            <w:tcW w:w="113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tbl>
            <w:tblPr>
              <w:tblStyle w:val="a5"/>
              <w:tblW w:w="11338" w:type="dxa"/>
              <w:jc w:val="left"/>
              <w:tblInd w:w="108" w:type="dxa"/>
              <w:tblCellMar>
                <w:top w:w="0" w:type="dxa"/>
                <w:left w:w="108" w:type="dxa"/>
                <w:bottom w:w="0" w:type="dxa"/>
                <w:right w:w="108" w:type="dxa"/>
              </w:tblCellMar>
              <w:tblLook w:firstRow="1" w:noVBand="1" w:lastRow="0" w:firstColumn="1" w:lastColumn="0" w:noHBand="0" w:val="04a0"/>
            </w:tblPr>
            <w:tblGrid>
              <w:gridCol w:w="5945"/>
              <w:gridCol w:w="5392"/>
            </w:tblGrid>
            <w:tr>
              <w:trPr/>
              <w:tc>
                <w:tcPr>
                  <w:tcW w:w="5945" w:type="dxa"/>
                  <w:tcBorders>
                    <w:top w:val="nil"/>
                    <w:left w:val="nil"/>
                    <w:bottom w:val="nil"/>
                    <w:right w:val="nil"/>
                    <w:insideH w:val="nil"/>
                    <w:insideV w:val="nil"/>
                  </w:tcBorders>
                  <w:shd w:fill="auto" w:val="clear"/>
                </w:tcPr>
                <w:p>
                  <w:pPr>
                    <w:pStyle w:val="Normal"/>
                    <w:tabs>
                      <w:tab w:val="clear" w:pos="708"/>
                      <w:tab w:val="left" w:pos="318" w:leader="none"/>
                    </w:tabs>
                    <w:spacing w:lineRule="auto" w:line="240" w:before="240" w:after="0"/>
                    <w:rPr>
                      <w:b/>
                      <w:b/>
                      <w:sz w:val="26"/>
                      <w:szCs w:val="26"/>
                      <w:u w:val="single"/>
                    </w:rPr>
                  </w:pPr>
                  <w:r>
                    <w:rPr>
                      <w:rFonts w:eastAsia="Times New Roman" w:cs="Times New Roman"/>
                      <w:b/>
                      <w:sz w:val="26"/>
                      <w:szCs w:val="26"/>
                      <w:u w:val="single"/>
                      <w:lang w:eastAsia="ru-RU"/>
                    </w:rPr>
                    <w:t>Причины отравлений</w:t>
                  </w:r>
                </w:p>
                <w:p>
                  <w:pPr>
                    <w:pStyle w:val="Normal"/>
                    <w:numPr>
                      <w:ilvl w:val="1"/>
                      <w:numId w:val="2"/>
                    </w:numPr>
                    <w:tabs>
                      <w:tab w:val="clear" w:pos="708"/>
                      <w:tab w:val="left" w:pos="287" w:leader="none"/>
                      <w:tab w:val="left" w:pos="318" w:leader="none"/>
                    </w:tabs>
                    <w:spacing w:lineRule="auto" w:line="240" w:before="0" w:after="0"/>
                    <w:ind w:left="34" w:hanging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>Установка принудительной вытяжки над плитой и (или) вентилятора.</w:t>
                  </w:r>
                </w:p>
                <w:p>
                  <w:pPr>
                    <w:pStyle w:val="Normal"/>
                    <w:numPr>
                      <w:ilvl w:val="1"/>
                      <w:numId w:val="2"/>
                    </w:numPr>
                    <w:tabs>
                      <w:tab w:val="clear" w:pos="708"/>
                      <w:tab w:val="left" w:pos="287" w:leader="none"/>
                      <w:tab w:val="left" w:pos="318" w:leader="none"/>
                    </w:tabs>
                    <w:spacing w:lineRule="auto" w:line="240" w:before="0" w:after="0"/>
                    <w:ind w:left="34" w:hanging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bCs/>
                      <w:sz w:val="26"/>
                      <w:szCs w:val="26"/>
                      <w:lang w:eastAsia="ru-RU"/>
                    </w:rPr>
                    <w:t>Обратная тяга в проточном водонагревателе.</w:t>
                  </w:r>
                </w:p>
                <w:p>
                  <w:pPr>
                    <w:pStyle w:val="Normal"/>
                    <w:numPr>
                      <w:ilvl w:val="1"/>
                      <w:numId w:val="2"/>
                    </w:numPr>
                    <w:tabs>
                      <w:tab w:val="clear" w:pos="708"/>
                      <w:tab w:val="left" w:pos="287" w:leader="none"/>
                      <w:tab w:val="left" w:pos="318" w:leader="none"/>
                    </w:tabs>
                    <w:spacing w:lineRule="auto" w:line="240" w:before="0" w:after="0"/>
                    <w:ind w:left="34" w:hanging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bCs/>
                      <w:sz w:val="26"/>
                      <w:szCs w:val="26"/>
                      <w:lang w:eastAsia="ru-RU"/>
                    </w:rPr>
                    <w:t>Самовольный перемонтаж.</w:t>
                  </w:r>
                </w:p>
                <w:p>
                  <w:pPr>
                    <w:pStyle w:val="Normal"/>
                    <w:numPr>
                      <w:ilvl w:val="1"/>
                      <w:numId w:val="2"/>
                    </w:numPr>
                    <w:tabs>
                      <w:tab w:val="clear" w:pos="708"/>
                      <w:tab w:val="left" w:pos="287" w:leader="none"/>
                      <w:tab w:val="left" w:pos="318" w:leader="none"/>
                    </w:tabs>
                    <w:spacing w:lineRule="auto" w:line="240" w:before="0" w:after="0"/>
                    <w:ind w:left="34" w:hanging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bCs/>
                      <w:sz w:val="26"/>
                      <w:szCs w:val="26"/>
                      <w:lang w:eastAsia="ru-RU"/>
                    </w:rPr>
                    <w:t>Обледенение или засор дымоходов.</w:t>
                  </w:r>
                </w:p>
                <w:p>
                  <w:pPr>
                    <w:pStyle w:val="Normal"/>
                    <w:numPr>
                      <w:ilvl w:val="1"/>
                      <w:numId w:val="2"/>
                    </w:numPr>
                    <w:tabs>
                      <w:tab w:val="clear" w:pos="708"/>
                      <w:tab w:val="left" w:pos="287" w:leader="none"/>
                      <w:tab w:val="left" w:pos="318" w:leader="none"/>
                    </w:tabs>
                    <w:spacing w:lineRule="auto" w:line="240" w:before="0" w:after="0"/>
                    <w:ind w:left="34" w:hanging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bCs/>
                      <w:sz w:val="26"/>
                      <w:szCs w:val="26"/>
                      <w:lang w:eastAsia="ru-RU"/>
                    </w:rPr>
                    <w:t xml:space="preserve"> </w:t>
                  </w:r>
                  <w:r>
                    <w:rPr>
                      <w:rFonts w:eastAsia="Times New Roman" w:cs="Times New Roman"/>
                      <w:bCs/>
                      <w:sz w:val="26"/>
                      <w:szCs w:val="26"/>
                      <w:lang w:eastAsia="ru-RU"/>
                    </w:rPr>
                    <w:t>Неработающая (отсутствующая) автоматика безопасности, закрытые шиберы.</w:t>
                  </w:r>
                </w:p>
                <w:p>
                  <w:pPr>
                    <w:pStyle w:val="Normal"/>
                    <w:tabs>
                      <w:tab w:val="clear" w:pos="708"/>
                      <w:tab w:val="left" w:pos="318" w:leader="none"/>
                    </w:tabs>
                    <w:spacing w:lineRule="auto" w:line="240" w:before="240" w:after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b/>
                      <w:sz w:val="26"/>
                      <w:szCs w:val="26"/>
                      <w:u w:val="single"/>
                      <w:lang w:eastAsia="ru-RU"/>
                    </w:rPr>
                    <w:t>Как уберечь себя и своих близких?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tabs>
                      <w:tab w:val="clear" w:pos="708"/>
                      <w:tab w:val="left" w:pos="318" w:leader="none"/>
                    </w:tabs>
                    <w:spacing w:lineRule="auto" w:line="240" w:before="0" w:after="0"/>
                    <w:ind w:left="0" w:hanging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b/>
                      <w:sz w:val="26"/>
                      <w:szCs w:val="26"/>
                      <w:u w:val="single"/>
                      <w:lang w:eastAsia="ru-RU"/>
                    </w:rPr>
                    <w:t>Демонтировать принудительную вытяжку (вентилятор)</w:t>
                  </w: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 xml:space="preserve"> и пользоваться колонкой </w:t>
                  </w:r>
                  <w:r>
                    <w:rPr>
                      <w:rFonts w:eastAsia="Times New Roman" w:cs="Times New Roman"/>
                      <w:b/>
                      <w:sz w:val="26"/>
                      <w:szCs w:val="26"/>
                      <w:lang w:eastAsia="ru-RU"/>
                    </w:rPr>
                    <w:t>только</w:t>
                  </w: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 xml:space="preserve"> </w:t>
                  </w:r>
                  <w:r>
                    <w:rPr>
                      <w:rFonts w:eastAsia="Times New Roman" w:cs="Times New Roman"/>
                      <w:b/>
                      <w:sz w:val="26"/>
                      <w:szCs w:val="26"/>
                      <w:lang w:eastAsia="ru-RU"/>
                    </w:rPr>
                    <w:t>при открытом окне.</w:t>
                  </w: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 xml:space="preserve"> 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tabs>
                      <w:tab w:val="clear" w:pos="708"/>
                      <w:tab w:val="left" w:pos="318" w:leader="none"/>
                    </w:tabs>
                    <w:spacing w:lineRule="auto" w:line="240" w:before="0" w:after="0"/>
                    <w:ind w:left="0" w:hanging="0"/>
                    <w:rPr>
                      <w:sz w:val="26"/>
                      <w:szCs w:val="26"/>
                    </w:rPr>
                  </w:pP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>Проверять тягу перед розжигом колонки (котла)</w:t>
                  </w:r>
                  <w:r>
                    <w:rPr>
                      <w:rStyle w:val="FootnoteCharacters"/>
                      <w:rStyle w:val="Style14"/>
                      <w:rFonts w:eastAsia="Times New Roman" w:cs="Times New Roman"/>
                      <w:sz w:val="26"/>
                      <w:szCs w:val="26"/>
                      <w:lang w:eastAsia="ru-RU"/>
                    </w:rPr>
                    <w:footnoteReference w:id="2"/>
                  </w: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 xml:space="preserve"> и во время ее работы каждые 30 минут.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tabs>
                      <w:tab w:val="clear" w:pos="708"/>
                      <w:tab w:val="left" w:pos="318" w:leader="none"/>
                    </w:tabs>
                    <w:spacing w:lineRule="auto" w:line="240" w:before="0" w:after="0"/>
                    <w:ind w:left="0" w:hanging="0"/>
                    <w:rPr>
                      <w:sz w:val="26"/>
                      <w:szCs w:val="26"/>
                      <w:u w:val="single"/>
                    </w:rPr>
                  </w:pPr>
                  <w:r>
                    <w:rPr>
                      <w:rFonts w:eastAsia="Times New Roman" w:cs="Times New Roman"/>
                      <w:sz w:val="26"/>
                      <w:szCs w:val="26"/>
                      <w:u w:val="single"/>
                      <w:lang w:eastAsia="ru-RU"/>
                    </w:rPr>
                    <w:t>Установить сигнализатор на загазованность угарным газом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tabs>
                      <w:tab w:val="clear" w:pos="708"/>
                      <w:tab w:val="left" w:pos="318" w:leader="none"/>
                    </w:tabs>
                    <w:spacing w:lineRule="auto" w:line="240" w:before="0" w:after="0"/>
                    <w:ind w:left="0" w:hanging="0"/>
                    <w:rPr>
                      <w:b/>
                      <w:b/>
                      <w:u w:val="single"/>
                    </w:rPr>
                  </w:pP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 xml:space="preserve">Установить приточный стеновой вентиляционный клапан </w:t>
                  </w:r>
                </w:p>
                <w:p>
                  <w:pPr>
                    <w:pStyle w:val="Normal"/>
                    <w:numPr>
                      <w:ilvl w:val="0"/>
                      <w:numId w:val="1"/>
                    </w:numPr>
                    <w:tabs>
                      <w:tab w:val="clear" w:pos="708"/>
                      <w:tab w:val="left" w:pos="318" w:leader="none"/>
                    </w:tabs>
                    <w:spacing w:lineRule="auto" w:line="240" w:before="0" w:after="0"/>
                    <w:ind w:left="0" w:hanging="0"/>
                    <w:rPr>
                      <w:b/>
                      <w:b/>
                      <w:u w:val="single"/>
                    </w:rPr>
                  </w:pP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 xml:space="preserve">Работы поручать </w:t>
                  </w:r>
                  <w:r>
                    <w:rPr>
                      <w:rFonts w:eastAsia="Times New Roman" w:cs="Times New Roman"/>
                      <w:sz w:val="26"/>
                      <w:szCs w:val="26"/>
                      <w:u w:val="single"/>
                      <w:lang w:eastAsia="ru-RU"/>
                    </w:rPr>
                    <w:t>официально</w:t>
                  </w:r>
                  <w:r>
                    <w:rPr>
                      <w:rFonts w:eastAsia="Times New Roman" w:cs="Times New Roman"/>
                      <w:sz w:val="26"/>
                      <w:szCs w:val="26"/>
                      <w:lang w:eastAsia="ru-RU"/>
                    </w:rPr>
                    <w:t xml:space="preserve"> специализированной газовой компании.</w:t>
                  </w:r>
                </w:p>
              </w:tc>
              <w:tc>
                <w:tcPr>
                  <w:tcW w:w="5392" w:type="dxa"/>
                  <w:tcBorders>
                    <w:top w:val="nil"/>
                    <w:left w:val="nil"/>
                    <w:bottom w:val="nil"/>
                    <w:right w:val="nil"/>
                    <w:insideH w:val="nil"/>
                    <w:insideV w:val="nil"/>
                  </w:tcBorders>
                  <w:shd w:fill="auto" w:val="clear"/>
                </w:tcPr>
                <w:p>
                  <w:pPr>
                    <w:pStyle w:val="Normal"/>
                    <w:numPr>
                      <w:ilvl w:val="0"/>
                      <w:numId w:val="0"/>
                    </w:numPr>
                    <w:spacing w:lineRule="auto" w:line="240" w:before="0" w:after="0"/>
                    <w:jc w:val="center"/>
                    <w:outlineLvl w:val="0"/>
                    <w:rPr>
                      <w:rFonts w:ascii="Arial Narrow" w:hAnsi="Arial Narrow"/>
                      <w:b/>
                      <w:b/>
                      <w:sz w:val="36"/>
                      <w:szCs w:val="36"/>
                      <w:u w:val="single"/>
                    </w:rPr>
                  </w:pPr>
                  <w:r>
                    <w:rPr>
                      <w:rFonts w:eastAsia="Times New Roman" w:cs="Times New Roman"/>
                      <w:szCs w:val="20"/>
                      <w:lang w:eastAsia="ru-RU"/>
                    </w:rPr>
                    <w:object>
                      <v:shape id="ole_rId7" style="width:258.8pt;height:296.85pt" o:ole="">
                        <v:imagedata r:id="rId8" o:title=""/>
                      </v:shape>
                      <o:OLEObject Type="Embed" ProgID="PBrush" ShapeID="ole_rId7" DrawAspect="Content" ObjectID="_55210308" r:id="rId7"/>
                    </w:object>
                  </w:r>
                </w:p>
              </w:tc>
            </w:tr>
          </w:tbl>
          <w:p>
            <w:pPr>
              <w:pStyle w:val="Normal"/>
              <w:tabs>
                <w:tab w:val="clear" w:pos="708"/>
                <w:tab w:val="left" w:pos="540" w:leader="none"/>
              </w:tabs>
              <w:spacing w:before="0" w:after="0"/>
              <w:ind w:left="360" w:hanging="0"/>
              <w:rPr>
                <w:rFonts w:ascii="Arial Narrow" w:hAnsi="Arial Narrow"/>
                <w:b/>
                <w:b/>
                <w:sz w:val="36"/>
                <w:szCs w:val="36"/>
                <w:u w:val="single"/>
              </w:rPr>
            </w:pPr>
            <w:r>
              <w:rPr>
                <w:rFonts w:ascii="Arial Narrow" w:hAnsi="Arial Narrow"/>
                <w:b/>
                <w:sz w:val="36"/>
                <w:szCs w:val="36"/>
                <w:u w:val="single"/>
              </w:rPr>
            </w:r>
          </w:p>
        </w:tc>
      </w:tr>
    </w:tbl>
    <w:p>
      <w:pPr>
        <w:pStyle w:val="Normal"/>
        <w:jc w:val="right"/>
        <w:rPr/>
      </w:pPr>
      <w:r>
        <w:rPr/>
      </w:r>
    </w:p>
    <w:sectPr>
      <w:footnotePr>
        <w:numFmt w:val="decimal"/>
        <w:numRestart w:val="eachPage"/>
      </w:footnotePr>
      <w:type w:val="nextPage"/>
      <w:pgSz w:w="11906" w:h="16838"/>
      <w:pgMar w:left="284" w:right="284" w:header="0" w:top="284" w:footer="0" w:bottom="28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Arial">
    <w:charset w:val="cc"/>
    <w:family w:val="roman"/>
    <w:pitch w:val="variable"/>
  </w:font>
  <w:font w:name="Verdana">
    <w:charset w:val="cc"/>
    <w:family w:val="roman"/>
    <w:pitch w:val="variable"/>
  </w:font>
  <w:font w:name="Arial Narrow">
    <w:charset w:val="cc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Style27"/>
        <w:jc w:val="both"/>
        <w:rPr/>
      </w:pPr>
      <w:r>
        <w:rPr>
          <w:rStyle w:val="Style19"/>
        </w:rPr>
        <w:footnoteRef/>
      </w:r>
      <w:r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Поднести полоску бумаги к смотровому окну водонагревателя. Пользоваться газовым прибором можно, только если полоска бумаги отклонилась в сторону водонагревателя.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6"/>
        <w:b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6"/>
        <w:b w:val="false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footnotePr>
    <w:numFmt w:val="decimal"/>
    <w:numRestart w:val="eachPage"/>
    <w:footnote w:id="0"/>
    <w:footnote w:id="1"/>
  </w:foot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0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c057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semiHidden/>
    <w:qFormat/>
    <w:rsid w:val="005c057e"/>
    <w:rPr>
      <w:vertAlign w:val="superscript"/>
    </w:rPr>
  </w:style>
  <w:style w:type="character" w:styleId="Style15" w:customStyle="1">
    <w:name w:val="Текст сноски Знак"/>
    <w:basedOn w:val="DefaultParagraphFont"/>
    <w:link w:val="a6"/>
    <w:semiHidden/>
    <w:qFormat/>
    <w:rsid w:val="005c057e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6" w:customStyle="1">
    <w:name w:val="Текст выноски Знак"/>
    <w:basedOn w:val="DefaultParagraphFont"/>
    <w:link w:val="a8"/>
    <w:uiPriority w:val="99"/>
    <w:semiHidden/>
    <w:qFormat/>
    <w:rsid w:val="005c057e"/>
    <w:rPr>
      <w:rFonts w:ascii="Tahoma" w:hAnsi="Tahoma" w:eastAsia="Times New Roman" w:cs="Tahoma"/>
      <w:sz w:val="16"/>
      <w:szCs w:val="16"/>
      <w:lang w:eastAsia="ru-RU"/>
    </w:rPr>
  </w:style>
  <w:style w:type="character" w:styleId="Style17" w:customStyle="1">
    <w:name w:val="Текст концевой сноски Знак"/>
    <w:basedOn w:val="DefaultParagraphFont"/>
    <w:link w:val="aa"/>
    <w:uiPriority w:val="99"/>
    <w:semiHidden/>
    <w:qFormat/>
    <w:rsid w:val="0044006c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8">
    <w:name w:val="Привязка концевой сноски"/>
    <w:rPr>
      <w:vertAlign w:val="superscript"/>
    </w:rPr>
  </w:style>
  <w:style w:type="character" w:styleId="EndnoteCharacters">
    <w:name w:val="Endnote Characters"/>
    <w:basedOn w:val="DefaultParagraphFont"/>
    <w:uiPriority w:val="99"/>
    <w:semiHidden/>
    <w:unhideWhenUsed/>
    <w:qFormat/>
    <w:rsid w:val="0044006c"/>
    <w:rPr>
      <w:vertAlign w:val="superscript"/>
    </w:rPr>
  </w:style>
  <w:style w:type="character" w:styleId="ListLabel1">
    <w:name w:val="ListLabel 1"/>
    <w:qFormat/>
    <w:rPr>
      <w:b/>
      <w:sz w:val="26"/>
      <w:szCs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b w:val="false"/>
    </w:rPr>
  </w:style>
  <w:style w:type="character" w:styleId="ListLabel6">
    <w:name w:val="ListLabel 6"/>
    <w:qFormat/>
    <w:rPr>
      <w:b w:val="false"/>
      <w:sz w:val="26"/>
    </w:rPr>
  </w:style>
  <w:style w:type="character" w:styleId="Style19">
    <w:name w:val="Символ сноски"/>
    <w:qFormat/>
    <w:rPr/>
  </w:style>
  <w:style w:type="character" w:styleId="Style20">
    <w:name w:val="Символ концевой сноски"/>
    <w:qFormat/>
    <w:rPr/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2">
    <w:name w:val="Body Text"/>
    <w:basedOn w:val="Normal"/>
    <w:pPr>
      <w:spacing w:lineRule="auto" w:line="276" w:before="0" w:after="140"/>
    </w:pPr>
    <w:rPr/>
  </w:style>
  <w:style w:type="paragraph" w:styleId="Style23">
    <w:name w:val="List"/>
    <w:basedOn w:val="Style22"/>
    <w:pPr/>
    <w:rPr>
      <w:rFonts w:cs="Mang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Mangal"/>
    </w:rPr>
  </w:style>
  <w:style w:type="paragraph" w:styleId="ConsPlusNormal" w:customStyle="1">
    <w:name w:val="ConsPlusNormal"/>
    <w:qFormat/>
    <w:rsid w:val="005c057e"/>
    <w:pPr>
      <w:widowControl w:val="fals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eastAsia="ru-RU" w:val="ru-RU" w:bidi="ar-SA"/>
    </w:rPr>
  </w:style>
  <w:style w:type="paragraph" w:styleId="Style26" w:customStyle="1">
    <w:name w:val="Знак"/>
    <w:basedOn w:val="Normal"/>
    <w:qFormat/>
    <w:rsid w:val="005c057e"/>
    <w:pPr>
      <w:spacing w:lineRule="exact" w:line="240" w:before="0" w:after="160"/>
    </w:pPr>
    <w:rPr>
      <w:rFonts w:ascii="Verdana" w:hAnsi="Verdana" w:cs="Verdana"/>
      <w:sz w:val="20"/>
      <w:szCs w:val="20"/>
      <w:lang w:val="en-US" w:eastAsia="en-US"/>
    </w:rPr>
  </w:style>
  <w:style w:type="paragraph" w:styleId="Style27">
    <w:name w:val="Footnote Text"/>
    <w:basedOn w:val="Normal"/>
    <w:link w:val="a7"/>
    <w:semiHidden/>
    <w:rsid w:val="005c057e"/>
    <w:pPr/>
    <w:rPr>
      <w:sz w:val="20"/>
      <w:szCs w:val="20"/>
    </w:rPr>
  </w:style>
  <w:style w:type="paragraph" w:styleId="BalloonText">
    <w:name w:val="Balloon Text"/>
    <w:basedOn w:val="Normal"/>
    <w:link w:val="a9"/>
    <w:uiPriority w:val="99"/>
    <w:semiHidden/>
    <w:unhideWhenUsed/>
    <w:qFormat/>
    <w:rsid w:val="005c057e"/>
    <w:pPr/>
    <w:rPr>
      <w:rFonts w:ascii="Tahoma" w:hAnsi="Tahoma" w:cs="Tahoma"/>
      <w:sz w:val="16"/>
      <w:szCs w:val="16"/>
    </w:rPr>
  </w:style>
  <w:style w:type="paragraph" w:styleId="Style28">
    <w:name w:val="Endnote Text"/>
    <w:basedOn w:val="Normal"/>
    <w:link w:val="ab"/>
    <w:uiPriority w:val="99"/>
    <w:semiHidden/>
    <w:unhideWhenUsed/>
    <w:rsid w:val="0044006c"/>
    <w:pPr/>
    <w:rPr>
      <w:sz w:val="20"/>
      <w:szCs w:val="20"/>
    </w:rPr>
  </w:style>
  <w:style w:type="paragraph" w:styleId="Style29">
    <w:name w:val="Содержимое врезки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5">
    <w:name w:val="Table Grid"/>
    <w:basedOn w:val="a1"/>
    <w:rsid w:val="005c057e"/>
    <w:pPr>
      <w:spacing w:after="0" w:line="240" w:lineRule="auto"/>
    </w:pPr>
    <w:rPr>
      <w:lang w:eastAsia="ru-RU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diagramData" Target="diagrams/data3.xml"/><Relationship Id="rId3" Type="http://schemas.openxmlformats.org/officeDocument/2006/relationships/diagramLayout" Target="diagrams/layout3.xml"/><Relationship Id="rId4" Type="http://schemas.openxmlformats.org/officeDocument/2006/relationships/diagramQuickStyle" Target="diagrams/quickStyle3.xml"/><Relationship Id="rId5" Type="http://schemas.openxmlformats.org/officeDocument/2006/relationships/diagramColors" Target="diagrams/colors3.xml"/><Relationship Id="rId6" Type="http://schemas.microsoft.com/office/2007/relationships/diagramDrawing" Target="diagrams/drawing3.xml"/><Relationship Id="rId7" Type="http://schemas.openxmlformats.org/officeDocument/2006/relationships/oleObject" Target="embeddings/oleObject1.bin"/><Relationship Id="rId8" Type="http://schemas.openxmlformats.org/officeDocument/2006/relationships/image" Target="media/image1.emf"/><Relationship Id="rId9" Type="http://schemas.openxmlformats.org/officeDocument/2006/relationships/footnotes" Target="footnotes.xml"/><Relationship Id="rId10" Type="http://schemas.openxmlformats.org/officeDocument/2006/relationships/numbering" Target="numbering.xml"/><Relationship Id="rId11" Type="http://schemas.openxmlformats.org/officeDocument/2006/relationships/fontTable" Target="fontTable.xml"/><Relationship Id="rId12" Type="http://schemas.openxmlformats.org/officeDocument/2006/relationships/settings" Target="settings.xml"/><Relationship Id="rId13" Type="http://schemas.openxmlformats.org/officeDocument/2006/relationships/theme" Target="theme/theme1.xml"/><Relationship Id="rId14" Type="http://schemas.openxmlformats.org/officeDocument/2006/relationships/customXml" Target="../customXml/item1.xml"/>
</Relationships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3.xml><?xml version="1.0" encoding="utf-8"?>
<dgm:dataModel xmlns:dgm="http://schemas.openxmlformats.org/drawingml/2006/diagram" xmlns:a="http://schemas.openxmlformats.org/drawingml/2006/main">
  <dgm:ptLst>
    <dgm:pt modelId="{16EB2778-303D-40A8-A8A8-A62FA2514355}" type="doc">
      <dgm:prSet loTypeId="urn:microsoft.com/office/officeart/2008/layout/LinedLis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4981D00D-B491-4676-A3E1-5B76B3404304}">
      <dgm:prSet phldrT="[Текст]" custT="1"/>
      <dgm:spPr/>
      <dgm:t>
        <a:bodyPr/>
        <a:lstStyle/>
        <a:p>
          <a:pPr algn="ctr"/>
          <a:r>
            <a:rPr lang="ru-RU" sz="1600" b="1"/>
            <a:t>приводит к смерти человека  менее чем через 3 минуты</a:t>
          </a:r>
        </a:p>
      </dgm:t>
    </dgm:pt>
    <dgm:pt modelId="{2BB2CB33-A73D-442F-B937-7AE5D5CDFDE1}" type="par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F40D5E1A-5CBF-4580-9BC6-5A1F07384C28}" type="sib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CB60B646-0866-423E-B491-9E75718752F0}">
      <dgm:prSet phldrT="[Текст]" custT="1"/>
      <dgm:spPr/>
      <dgm:t>
        <a:bodyPr/>
        <a:lstStyle/>
        <a:p>
          <a:pPr algn="ctr"/>
          <a:r>
            <a:rPr lang="ru-RU" sz="1600" b="1"/>
            <a:t>при вдыхании вызывает кислородное голодание (гипоксию)</a:t>
          </a:r>
        </a:p>
      </dgm:t>
    </dgm:pt>
    <dgm:pt modelId="{EF97B625-300E-4D6D-B766-3E65A74A8A67}" type="sib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57C91C61-9DCC-4BB2-8024-0B7B180F7CF5}" type="par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A951C64D-ECFD-49E8-A545-7D934478420C}">
      <dgm:prSet phldrT="[Текст]" custT="1"/>
      <dgm:spPr/>
      <dgm:t>
        <a:bodyPr/>
        <a:lstStyle/>
        <a:p>
          <a:pPr algn="ctr"/>
          <a:r>
            <a:rPr lang="ru-RU" sz="1600" b="1"/>
            <a:t>не имеет ни цвета, ни запаха, не распознаётся органами чувств</a:t>
          </a:r>
        </a:p>
      </dgm:t>
    </dgm:pt>
    <dgm:pt modelId="{7525E691-1B52-43DB-951C-B7E34A44E9F5}" type="sib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9D321274-33F7-485D-91D6-CF69124B8930}" type="par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6C99DA05-165C-4BA9-BA7F-29A03CD30E44}" type="pres">
      <dgm:prSet presAssocID="{16EB2778-303D-40A8-A8A8-A62FA2514355}" presName="vert0" presStyleCnt="0">
        <dgm:presLayoutVars>
          <dgm:dir/>
          <dgm:animOne val="branch"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9A6D0D16-1225-453E-A26A-E386FA8F6CE4}" type="pres">
      <dgm:prSet presAssocID="{CB60B646-0866-423E-B491-9E75718752F0}" presName="thickLine" presStyleLbl="alignNode1" presStyleIdx="0" presStyleCnt="3"/>
      <dgm:spPr/>
    </dgm:pt>
    <dgm:pt modelId="{7BB7E707-0DCA-40AD-946F-42E8902666EF}" type="pres">
      <dgm:prSet presAssocID="{CB60B646-0866-423E-B491-9E75718752F0}" presName="horz1" presStyleCnt="0"/>
      <dgm:spPr/>
    </dgm:pt>
    <dgm:pt modelId="{4DD3301B-EE7D-4E58-9B76-871714A658A4}" type="pres">
      <dgm:prSet presAssocID="{CB60B646-0866-423E-B491-9E75718752F0}" presName="tx1" presStyleLbl="revTx" presStyleIdx="0" presStyleCnt="3" custScaleY="51293"/>
      <dgm:spPr/>
      <dgm:t>
        <a:bodyPr/>
        <a:lstStyle/>
        <a:p>
          <a:endParaRPr lang="ru-RU"/>
        </a:p>
      </dgm:t>
    </dgm:pt>
    <dgm:pt modelId="{4C061ABD-F6FD-4D4B-97F7-DA6DFD208F7D}" type="pres">
      <dgm:prSet presAssocID="{CB60B646-0866-423E-B491-9E75718752F0}" presName="vert1" presStyleCnt="0"/>
      <dgm:spPr/>
    </dgm:pt>
    <dgm:pt modelId="{C200781F-D002-4C8C-A9DE-E28D3E595DBE}" type="pres">
      <dgm:prSet presAssocID="{A951C64D-ECFD-49E8-A545-7D934478420C}" presName="thickLine" presStyleLbl="alignNode1" presStyleIdx="1" presStyleCnt="3"/>
      <dgm:spPr/>
    </dgm:pt>
    <dgm:pt modelId="{473A9A27-4A27-4762-B3FA-11A2488C35D3}" type="pres">
      <dgm:prSet presAssocID="{A951C64D-ECFD-49E8-A545-7D934478420C}" presName="horz1" presStyleCnt="0"/>
      <dgm:spPr/>
    </dgm:pt>
    <dgm:pt modelId="{9B533679-9274-4AF5-AF18-D253FB835631}" type="pres">
      <dgm:prSet presAssocID="{A951C64D-ECFD-49E8-A545-7D934478420C}" presName="tx1" presStyleLbl="revTx" presStyleIdx="1" presStyleCnt="3" custScaleY="54526"/>
      <dgm:spPr/>
      <dgm:t>
        <a:bodyPr/>
        <a:lstStyle/>
        <a:p>
          <a:endParaRPr lang="ru-RU"/>
        </a:p>
      </dgm:t>
    </dgm:pt>
    <dgm:pt modelId="{CDF6C9A2-C163-4036-B04F-DD3F4736F464}" type="pres">
      <dgm:prSet presAssocID="{A951C64D-ECFD-49E8-A545-7D934478420C}" presName="vert1" presStyleCnt="0"/>
      <dgm:spPr/>
    </dgm:pt>
    <dgm:pt modelId="{1C400B9F-99C4-4699-9F98-C4930DF01A28}" type="pres">
      <dgm:prSet presAssocID="{4981D00D-B491-4676-A3E1-5B76B3404304}" presName="thickLine" presStyleLbl="alignNode1" presStyleIdx="2" presStyleCnt="3"/>
      <dgm:spPr/>
    </dgm:pt>
    <dgm:pt modelId="{09F3E6E0-A914-4AE5-8DC9-7FE0333F8F68}" type="pres">
      <dgm:prSet presAssocID="{4981D00D-B491-4676-A3E1-5B76B3404304}" presName="horz1" presStyleCnt="0"/>
      <dgm:spPr/>
    </dgm:pt>
    <dgm:pt modelId="{FDCC9C4B-1EFD-4C63-A896-5143BA6AA6A1}" type="pres">
      <dgm:prSet presAssocID="{4981D00D-B491-4676-A3E1-5B76B3404304}" presName="tx1" presStyleLbl="revTx" presStyleIdx="2" presStyleCnt="3" custScaleY="57538"/>
      <dgm:spPr/>
      <dgm:t>
        <a:bodyPr/>
        <a:lstStyle/>
        <a:p>
          <a:endParaRPr lang="ru-RU"/>
        </a:p>
      </dgm:t>
    </dgm:pt>
    <dgm:pt modelId="{E88A262A-C049-4972-8EF6-80A3428019BA}" type="pres">
      <dgm:prSet presAssocID="{4981D00D-B491-4676-A3E1-5B76B3404304}" presName="vert1" presStyleCnt="0"/>
      <dgm:spPr/>
    </dgm:pt>
  </dgm:ptLst>
  <dgm:cxnLst>
    <dgm:cxn modelId="{A425F6C5-E2D5-4D3E-9E76-90B29AD4B50D}" type="presOf" srcId="{16EB2778-303D-40A8-A8A8-A62FA2514355}" destId="{6C99DA05-165C-4BA9-BA7F-29A03CD30E44}" srcOrd="0" destOrd="0" presId="urn:microsoft.com/office/officeart/2008/layout/LinedList"/>
    <dgm:cxn modelId="{0BB41033-7FC5-4853-BB88-A3BF4F3C52B4}" type="presOf" srcId="{4981D00D-B491-4676-A3E1-5B76B3404304}" destId="{FDCC9C4B-1EFD-4C63-A896-5143BA6AA6A1}" srcOrd="0" destOrd="0" presId="urn:microsoft.com/office/officeart/2008/layout/LinedList"/>
    <dgm:cxn modelId="{87619DF7-9055-4D0A-8D2F-3593007E26B8}" srcId="{16EB2778-303D-40A8-A8A8-A62FA2514355}" destId="{4981D00D-B491-4676-A3E1-5B76B3404304}" srcOrd="2" destOrd="0" parTransId="{2BB2CB33-A73D-442F-B937-7AE5D5CDFDE1}" sibTransId="{F40D5E1A-5CBF-4580-9BC6-5A1F07384C28}"/>
    <dgm:cxn modelId="{789E8A68-FCEF-41EA-B89B-6FC3948CBCD3}" type="presOf" srcId="{CB60B646-0866-423E-B491-9E75718752F0}" destId="{4DD3301B-EE7D-4E58-9B76-871714A658A4}" srcOrd="0" destOrd="0" presId="urn:microsoft.com/office/officeart/2008/layout/LinedList"/>
    <dgm:cxn modelId="{158FE2C6-A393-498F-9B6E-B927078956E9}" srcId="{16EB2778-303D-40A8-A8A8-A62FA2514355}" destId="{CB60B646-0866-423E-B491-9E75718752F0}" srcOrd="0" destOrd="0" parTransId="{57C91C61-9DCC-4BB2-8024-0B7B180F7CF5}" sibTransId="{EF97B625-300E-4D6D-B766-3E65A74A8A67}"/>
    <dgm:cxn modelId="{B052B42F-0CF7-43E4-9BA5-E66917248147}" type="presOf" srcId="{A951C64D-ECFD-49E8-A545-7D934478420C}" destId="{9B533679-9274-4AF5-AF18-D253FB835631}" srcOrd="0" destOrd="0" presId="urn:microsoft.com/office/officeart/2008/layout/LinedList"/>
    <dgm:cxn modelId="{D62E5B1D-2BEC-45AD-BE1C-14B2D9501166}" srcId="{16EB2778-303D-40A8-A8A8-A62FA2514355}" destId="{A951C64D-ECFD-49E8-A545-7D934478420C}" srcOrd="1" destOrd="0" parTransId="{9D321274-33F7-485D-91D6-CF69124B8930}" sibTransId="{7525E691-1B52-43DB-951C-B7E34A44E9F5}"/>
    <dgm:cxn modelId="{8F324016-F370-4934-8D31-C17478B51FAB}" type="presParOf" srcId="{6C99DA05-165C-4BA9-BA7F-29A03CD30E44}" destId="{9A6D0D16-1225-453E-A26A-E386FA8F6CE4}" srcOrd="0" destOrd="0" presId="urn:microsoft.com/office/officeart/2008/layout/LinedList"/>
    <dgm:cxn modelId="{35C57B09-0936-449B-A85E-28FC302A6868}" type="presParOf" srcId="{6C99DA05-165C-4BA9-BA7F-29A03CD30E44}" destId="{7BB7E707-0DCA-40AD-946F-42E8902666EF}" srcOrd="1" destOrd="0" presId="urn:microsoft.com/office/officeart/2008/layout/LinedList"/>
    <dgm:cxn modelId="{A7AB0988-9D09-4495-9E6D-C9EECFEC347C}" type="presParOf" srcId="{7BB7E707-0DCA-40AD-946F-42E8902666EF}" destId="{4DD3301B-EE7D-4E58-9B76-871714A658A4}" srcOrd="0" destOrd="0" presId="urn:microsoft.com/office/officeart/2008/layout/LinedList"/>
    <dgm:cxn modelId="{A54BA587-6C13-4A61-932D-66DCBD8F0801}" type="presParOf" srcId="{7BB7E707-0DCA-40AD-946F-42E8902666EF}" destId="{4C061ABD-F6FD-4D4B-97F7-DA6DFD208F7D}" srcOrd="1" destOrd="0" presId="urn:microsoft.com/office/officeart/2008/layout/LinedList"/>
    <dgm:cxn modelId="{9ECF838D-7222-4C7E-8A47-DEF7B8028D83}" type="presParOf" srcId="{6C99DA05-165C-4BA9-BA7F-29A03CD30E44}" destId="{C200781F-D002-4C8C-A9DE-E28D3E595DBE}" srcOrd="2" destOrd="0" presId="urn:microsoft.com/office/officeart/2008/layout/LinedList"/>
    <dgm:cxn modelId="{65A1BC99-4C4A-4FA5-A336-343E2DCEA7FD}" type="presParOf" srcId="{6C99DA05-165C-4BA9-BA7F-29A03CD30E44}" destId="{473A9A27-4A27-4762-B3FA-11A2488C35D3}" srcOrd="3" destOrd="0" presId="urn:microsoft.com/office/officeart/2008/layout/LinedList"/>
    <dgm:cxn modelId="{0784028B-53D7-43A0-8CE4-D03442F6EC0B}" type="presParOf" srcId="{473A9A27-4A27-4762-B3FA-11A2488C35D3}" destId="{9B533679-9274-4AF5-AF18-D253FB835631}" srcOrd="0" destOrd="0" presId="urn:microsoft.com/office/officeart/2008/layout/LinedList"/>
    <dgm:cxn modelId="{FE8A9B5F-1BCD-4923-A654-C02300AAB574}" type="presParOf" srcId="{473A9A27-4A27-4762-B3FA-11A2488C35D3}" destId="{CDF6C9A2-C163-4036-B04F-DD3F4736F464}" srcOrd="1" destOrd="0" presId="urn:microsoft.com/office/officeart/2008/layout/LinedList"/>
    <dgm:cxn modelId="{B9511653-DB78-49B4-BBF7-67AEE4E01EF1}" type="presParOf" srcId="{6C99DA05-165C-4BA9-BA7F-29A03CD30E44}" destId="{1C400B9F-99C4-4699-9F98-C4930DF01A28}" srcOrd="4" destOrd="0" presId="urn:microsoft.com/office/officeart/2008/layout/LinedList"/>
    <dgm:cxn modelId="{894D2919-09DF-4096-8B31-9392E03D33AC}" type="presParOf" srcId="{6C99DA05-165C-4BA9-BA7F-29A03CD30E44}" destId="{09F3E6E0-A914-4AE5-8DC9-7FE0333F8F68}" srcOrd="5" destOrd="0" presId="urn:microsoft.com/office/officeart/2008/layout/LinedList"/>
    <dgm:cxn modelId="{5C21CCEB-14A5-4B88-BAE2-D83CF6F429C8}" type="presParOf" srcId="{09F3E6E0-A914-4AE5-8DC9-7FE0333F8F68}" destId="{FDCC9C4B-1EFD-4C63-A896-5143BA6AA6A1}" srcOrd="0" destOrd="0" presId="urn:microsoft.com/office/officeart/2008/layout/LinedList"/>
    <dgm:cxn modelId="{22E5166C-9573-4BF0-842E-3E63086AD7D0}" type="presParOf" srcId="{09F3E6E0-A914-4AE5-8DC9-7FE0333F8F68}" destId="{E88A262A-C049-4972-8EF6-80A3428019BA}" srcOrd="1" destOrd="0" presId="urn:microsoft.com/office/officeart/2008/layout/LinedList"/>
  </dgm:cxnLst>
  <dgm:bg/>
  <dgm:whole/>
  <dgm:extLst>
    <a:ext uri="http://schemas.microsoft.com/office/drawing/2008/diagram">
      <dsp:dataModelExt xmlns:dsp="http://schemas.microsoft.com/office/drawing/2008/diagram" relId="rId6" minVer="http://schemas.openxmlformats.org/drawingml/2006/diagram"/>
    </a:ext>
  </dgm:extLst>
</dgm:dataModel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A6D0D16-1225-453E-A26A-E386FA8F6CE4}">
      <dsp:nvSpPr>
        <dsp:cNvPr id="0" name=""/>
        <dsp:cNvSpPr/>
      </dsp:nvSpPr>
      <dsp:spPr>
        <a:xfrm>
          <a:off x="0" y="596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DD3301B-EE7D-4E58-9B76-871714A658A4}">
      <dsp:nvSpPr>
        <dsp:cNvPr id="0" name=""/>
        <dsp:cNvSpPr/>
      </dsp:nvSpPr>
      <dsp:spPr>
        <a:xfrm>
          <a:off x="0" y="596"/>
          <a:ext cx="6781800" cy="27648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 вдыхании вызывает кислородное голодание (гипоксию)</a:t>
          </a:r>
        </a:p>
      </dsp:txBody>
      <dsp:txXfrm>
        <a:off x="0" y="596"/>
        <a:ext cx="6781800" cy="276486"/>
      </dsp:txXfrm>
    </dsp:sp>
    <dsp:sp modelId="{C200781F-D002-4C8C-A9DE-E28D3E595DBE}">
      <dsp:nvSpPr>
        <dsp:cNvPr id="0" name=""/>
        <dsp:cNvSpPr/>
      </dsp:nvSpPr>
      <dsp:spPr>
        <a:xfrm>
          <a:off x="0" y="277083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B533679-9274-4AF5-AF18-D253FB835631}">
      <dsp:nvSpPr>
        <dsp:cNvPr id="0" name=""/>
        <dsp:cNvSpPr/>
      </dsp:nvSpPr>
      <dsp:spPr>
        <a:xfrm>
          <a:off x="0" y="277083"/>
          <a:ext cx="6781800" cy="29391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не имеет ни цвета, ни запаха, не распознаётся органами чувств</a:t>
          </a:r>
        </a:p>
      </dsp:txBody>
      <dsp:txXfrm>
        <a:off x="0" y="277083"/>
        <a:ext cx="6781800" cy="293913"/>
      </dsp:txXfrm>
    </dsp:sp>
    <dsp:sp modelId="{1C400B9F-99C4-4699-9F98-C4930DF01A28}">
      <dsp:nvSpPr>
        <dsp:cNvPr id="0" name=""/>
        <dsp:cNvSpPr/>
      </dsp:nvSpPr>
      <dsp:spPr>
        <a:xfrm>
          <a:off x="0" y="570997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DCC9C4B-1EFD-4C63-A896-5143BA6AA6A1}">
      <dsp:nvSpPr>
        <dsp:cNvPr id="0" name=""/>
        <dsp:cNvSpPr/>
      </dsp:nvSpPr>
      <dsp:spPr>
        <a:xfrm>
          <a:off x="0" y="570997"/>
          <a:ext cx="6781800" cy="31014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приводит к смерти человека  менее чем через 3 минуты</a:t>
          </a:r>
        </a:p>
      </dsp:txBody>
      <dsp:txXfrm>
        <a:off x="0" y="570997"/>
        <a:ext cx="6781800" cy="310149"/>
      </dsp:txXfrm>
    </dsp:sp>
  </dsp:spTree>
</dsp:drawing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8/layout/LinedList">
  <dgm:title val=""/>
  <dgm:desc val=""/>
  <dgm:catLst>
    <dgm:cat type="hierarchy" pri="8000"/>
    <dgm:cat type="list" pri="25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clrData>
  <dgm:layoutNode name="vert0">
    <dgm:varLst>
      <dgm:dir/>
      <dgm:animOne val="branch"/>
      <dgm:animLvl val="lvl"/>
    </dgm:varLst>
    <dgm:choose name="Name0">
      <dgm:if name="Name1" func="var" arg="dir" op="equ" val="norm">
        <dgm:alg type="lin">
          <dgm:param type="linDir" val="fromT"/>
          <dgm:param type="nodeHorzAlign" val="l"/>
        </dgm:alg>
      </dgm:if>
      <dgm:else name="Name2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horz1" refType="w"/>
      <dgm:constr type="h" for="ch" forName="horz1" refType="h"/>
      <dgm:constr type="h" for="des" forName="vert1" refType="h"/>
      <dgm:constr type="h" for="des" forName="tx1" refType="h"/>
      <dgm:constr type="h" for="des" forName="horz2" refType="h"/>
      <dgm:constr type="h" for="des" forName="vert2" refType="h"/>
      <dgm:constr type="h" for="des" forName="horz3" refType="h"/>
      <dgm:constr type="h" for="des" forName="vert3" refType="h"/>
      <dgm:constr type="h" for="des" forName="horz4" refType="h"/>
      <dgm:constr type="h" for="des" ptType="node" refType="h"/>
      <dgm:constr type="primFontSz" for="des" forName="tx1" op="equ" val="65"/>
      <dgm:constr type="primFontSz" for="des" forName="tx2" op="equ" val="65"/>
      <dgm:constr type="primFontSz" for="des" forName="tx3" op="equ" val="65"/>
      <dgm:constr type="primFontSz" for="des" forName="tx4" op="equ" val="65"/>
      <dgm:constr type="w" for="des" forName="thickLine" refType="w"/>
      <dgm:constr type="h" for="des" forName="thickLine"/>
      <dgm:constr type="h" for="des" forName="thinLine1"/>
      <dgm:constr type="h" for="des" forName="thinLine2b"/>
      <dgm:constr type="h" for="des" forName="thinLine3"/>
      <dgm:constr type="h" for="des" forName="vertSpace2a" refType="h" fact="0.05"/>
      <dgm:constr type="h" for="des" forName="vertSpace2b" refType="h" refFor="des" refForName="vertSpace2a"/>
    </dgm:constrLst>
    <dgm:forEach name="Name3" axis="ch" ptType="node">
      <dgm:layoutNode name="thickLine" styleLbl="alignNode1">
        <dgm:alg type="sp"/>
        <dgm:shape xmlns:r="http://schemas.openxmlformats.org/officeDocument/2006/relationships" type="line" r:blip="">
          <dgm:adjLst/>
        </dgm:shape>
        <dgm:presOf/>
      </dgm:layoutNode>
      <dgm:layoutNode name="horz1">
        <dgm:choose name="Name4">
          <dgm:if name="Name5" func="var" arg="dir" op="equ" val="norm">
            <dgm:alg type="lin">
              <dgm:param type="linDir" val="fromL"/>
              <dgm:param type="nodeVertAlign" val="t"/>
            </dgm:alg>
          </dgm:if>
          <dgm:else name="Name6">
            <dgm:alg type="lin">
              <dgm:param type="linDir" val="fromR"/>
              <dgm:param type="nodeVertAlign" val="t"/>
            </dgm:alg>
          </dgm:else>
        </dgm:choose>
        <dgm:shape xmlns:r="http://schemas.openxmlformats.org/officeDocument/2006/relationships" r:blip="">
          <dgm:adjLst/>
        </dgm:shape>
        <dgm:presOf/>
        <dgm:choose name="Name7">
          <dgm:if name="Name8" axis="root des" func="maxDepth" op="equ" val="1">
            <dgm:constrLst>
              <dgm:constr type="w" for="ch" forName="tx1" refType="w"/>
            </dgm:constrLst>
          </dgm:if>
          <dgm:if name="Name9" axis="root des" func="maxDepth" op="equ" val="2">
            <dgm:constrLst>
              <dgm:constr type="w" for="ch" forName="tx1" refType="w" fact="0.2"/>
              <dgm:constr type="w" for="des" forName="tx2" refType="w" fact="0.785"/>
              <dgm:constr type="w" for="des" forName="horzSpace2" refType="w" fact="0.015"/>
              <dgm:constr type="w" for="des" forName="thinLine2b" refType="w" fact="0.8"/>
            </dgm:constrLst>
          </dgm:if>
          <dgm:if name="Name10" axis="root des" func="maxDepth" op="equ" val="3">
            <dgm:constrLst>
              <dgm:constr type="w" for="ch" forName="tx1" refType="w" fact="0.2"/>
              <dgm:constr type="w" for="des" forName="tx2" refType="w" fact="0.385"/>
              <dgm:constr type="w" for="des" forName="tx3" refType="w" fact="0.385"/>
              <dgm:constr type="w" for="des" forName="horzSpace2" refType="w" fact="0.015"/>
              <dgm:constr type="w" for="des" forName="horzSpace3" refType="w" fact="0.015"/>
              <dgm:constr type="w" for="des" forName="thinLine2b" refType="w" fact="0.8"/>
              <dgm:constr type="w" for="des" forName="thinLine3" refType="w" fact="0.385"/>
            </dgm:constrLst>
          </dgm:if>
          <dgm:if name="Name11" axis="root des" func="maxDepth" op="gte" val="4">
            <dgm:constrLst>
              <dgm:constr type="w" for="ch" forName="tx1" refType="w" fact="0.2"/>
              <dgm:constr type="w" for="des" forName="tx2" refType="w" fact="0.2516"/>
              <dgm:constr type="w" for="des" forName="tx3" refType="w" fact="0.2516"/>
              <dgm:constr type="w" for="des" forName="tx4" refType="w" fact="0.2516"/>
              <dgm:constr type="w" for="des" forName="horzSpace2" refType="w" fact="0.015"/>
              <dgm:constr type="w" for="des" forName="horzSpace3" refType="w" fact="0.015"/>
              <dgm:constr type="w" for="des" forName="horzSpace4" refType="w" fact="0.015"/>
              <dgm:constr type="w" for="des" forName="thinLine2b" refType="w" fact="0.8"/>
              <dgm:constr type="w" for="des" forName="thinLine3" refType="w" fact="0.5332"/>
            </dgm:constrLst>
          </dgm:if>
          <dgm:else name="Name12"/>
        </dgm:choose>
        <dgm:layoutNode name="tx1" styleLbl="revTx"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>
            <dgm:adjLst/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vert1">
          <dgm:choose name="Name13">
            <dgm:if name="Name14" func="var" arg="dir" op="equ" val="norm">
              <dgm:alg type="lin">
                <dgm:param type="linDir" val="fromT"/>
                <dgm:param type="nodeHorzAlign" val="l"/>
              </dgm:alg>
            </dgm:if>
            <dgm:else name="Name15">
              <dgm:alg type="lin">
                <dgm:param type="linDir" val="fromT"/>
                <dgm:param type="nodeHorzAlign" val="r"/>
              </dgm:alg>
            </dgm:else>
          </dgm:choose>
          <dgm:shape xmlns:r="http://schemas.openxmlformats.org/officeDocument/2006/relationships" r:blip="">
            <dgm:adjLst/>
          </dgm:shape>
          <dgm:presOf/>
          <dgm:forEach name="Name16" axis="ch" ptType="node">
            <dgm:choose name="Name17">
              <dgm:if name="Name18" axis="self" ptType="node" func="pos" op="equ" val="1">
                <dgm:layoutNode name="vertSpace2a">
                  <dgm:alg type="sp"/>
                  <dgm:shape xmlns:r="http://schemas.openxmlformats.org/officeDocument/2006/relationships" r:blip="">
                    <dgm:adjLst/>
                  </dgm:shape>
                  <dgm:presOf/>
                </dgm:layoutNode>
              </dgm:if>
              <dgm:else name="Name19"/>
            </dgm:choose>
            <dgm:layoutNode name="horz2">
              <dgm:choose name="Name20">
                <dgm:if name="Name21" func="var" arg="dir" op="equ" val="norm">
                  <dgm:alg type="lin">
                    <dgm:param type="linDir" val="fromL"/>
                    <dgm:param type="nodeVertAlign" val="t"/>
                  </dgm:alg>
                </dgm:if>
                <dgm:else name="Name22">
                  <dgm:alg type="lin">
                    <dgm:param type="linDir" val="fromR"/>
                    <dgm:param type="nodeVertAlign" val="t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layoutNode name="horzSpace2">
                <dgm:alg type="sp"/>
                <dgm:shape xmlns:r="http://schemas.openxmlformats.org/officeDocument/2006/relationships" r:blip="">
                  <dgm:adjLst/>
                </dgm:shape>
                <dgm:presOf/>
              </dgm:layoutNode>
              <dgm:layoutNode name="tx2" styleLbl="revTx">
                <dgm:alg type="tx">
                  <dgm:param type="parTxLTRAlign" val="l"/>
                  <dgm:param type="parTxRTLAlign" val="r"/>
                  <dgm:param type="txAnchorVert" val="t"/>
                </dgm:alg>
                <dgm:shape xmlns:r="http://schemas.openxmlformats.org/officeDocument/2006/relationships" type="rect" r:blip="">
                  <dgm:adjLst/>
                </dgm:shape>
                <dgm:presOf axis="self"/>
                <dgm:constrLst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vert2">
                <dgm:choose name="Name23">
                  <dgm:if name="Name24" func="var" arg="dir" op="equ" val="norm">
                    <dgm:alg type="lin">
                      <dgm:param type="linDir" val="fromT"/>
                      <dgm:param type="nodeHorzAlign" val="l"/>
                    </dgm:alg>
                  </dgm:if>
                  <dgm:else name="Name25">
                    <dgm:alg type="lin">
                      <dgm:param type="linDir" val="fromT"/>
                      <dgm:param type="nodeHorz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forEach name="Name26" axis="ch" ptType="node">
                  <dgm:layoutNode name="horz3">
                    <dgm:choose name="Name27">
                      <dgm:if name="Name28" func="var" arg="dir" op="equ" val="norm">
                        <dgm:alg type="lin">
                          <dgm:param type="linDir" val="fromL"/>
                          <dgm:param type="nodeVertAlign" val="t"/>
                        </dgm:alg>
                      </dgm:if>
                      <dgm:else name="Name29">
                        <dgm:alg type="lin">
                          <dgm:param type="linDir" val="fromR"/>
                          <dgm:param type="nodeVertAlign" val="t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layoutNode name="horzSpace3">
                      <dgm:alg type="sp"/>
                      <dgm:shape xmlns:r="http://schemas.openxmlformats.org/officeDocument/2006/relationships" r:blip="">
                        <dgm:adjLst/>
                      </dgm:shape>
                      <dgm:presOf/>
                    </dgm:layoutNode>
                    <dgm:layoutNode name="tx3" styleLbl="revTx">
                      <dgm:alg type="tx">
                        <dgm:param type="parTxLTRAlign" val="l"/>
                        <dgm:param type="parTxRTLAlign" val="r"/>
                        <dgm:param type="txAnchorVert" val="t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vert3">
                      <dgm:choose name="Name30">
                        <dgm:if name="Name31" func="var" arg="dir" op="equ" val="norm">
                          <dgm:alg type="lin">
                            <dgm:param type="linDir" val="fromT"/>
                            <dgm:param type="nodeHorzAlign" val="l"/>
                          </dgm:alg>
                        </dgm:if>
                        <dgm:else name="Name32">
                          <dgm:alg type="lin">
                            <dgm:param type="linDir" val="fromT"/>
                            <dgm:param type="nodeHorzAlign" val="r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forEach name="Name33" axis="ch" ptType="node">
                        <dgm:layoutNode name="horz4">
                          <dgm:choose name="Name34">
                            <dgm:if name="Name35" func="var" arg="dir" op="equ" val="norm">
                              <dgm:alg type="lin">
                                <dgm:param type="linDir" val="fromL"/>
                                <dgm:param type="nodeVertAlign" val="t"/>
                              </dgm:alg>
                            </dgm:if>
                            <dgm:else name="Name36">
                              <dgm:alg type="lin">
                                <dgm:param type="linDir" val="fromR"/>
                                <dgm:param type="nodeVertAlign" val="t"/>
                              </dgm:alg>
                            </dgm:else>
                          </dgm:choose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layoutNode name="horzSpace4">
                            <dgm:alg type="sp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</dgm:layoutNode>
                          <dgm:layoutNode name="tx4" styleLbl="revTx">
                            <dgm:varLst>
                              <dgm:bulletEnabled val="1"/>
                            </dgm:varLst>
                            <dgm:alg type="tx">
                              <dgm:param type="parTxLTRAlign" val="l"/>
                              <dgm:param type="parTxRTLAlign" val="r"/>
                              <dgm:param type="txAnchorVert" val="t"/>
                            </dgm:alg>
                            <dgm:shape xmlns:r="http://schemas.openxmlformats.org/officeDocument/2006/relationships" type="rect" r:blip="">
                              <dgm:adjLst/>
                            </dgm:shape>
                            <dgm:presOf axis="desOrSelf" ptType="node"/>
                            <dgm:constrLst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</dgm:layoutNode>
                      </dgm:forEach>
                    </dgm:layoutNode>
                  </dgm:layoutNode>
                  <dgm:forEach name="Name37" axis="followSib" ptType="sibTrans" cnt="1">
                    <dgm:layoutNode name="thinLine3" styleLbl="callout">
                      <dgm:alg type="sp"/>
                      <dgm:shape xmlns:r="http://schemas.openxmlformats.org/officeDocument/2006/relationships" type="line" r:blip="">
                        <dgm:adjLst/>
                      </dgm:shape>
                      <dgm:presOf/>
                    </dgm:layoutNode>
                  </dgm:forEach>
                </dgm:forEach>
              </dgm:layoutNode>
            </dgm:layoutNode>
            <dgm:layoutNode name="thinLine2b" styleLbl="callout">
              <dgm:alg type="sp"/>
              <dgm:shape xmlns:r="http://schemas.openxmlformats.org/officeDocument/2006/relationships" type="line" r:blip="">
                <dgm:adjLst/>
              </dgm:shape>
              <dgm:presOf/>
            </dgm:layoutNode>
            <dgm:layoutNode name="vertSpace2b">
              <dgm:alg type="sp"/>
              <dgm:shape xmlns:r="http://schemas.openxmlformats.org/officeDocument/2006/relationships" r:blip="">
                <dgm:adjLst/>
              </dgm:shape>
              <dgm:presOf/>
            </dgm:layoutNode>
          </dgm:forEach>
        </dgm:layoutNode>
      </dgm:layoutNode>
    </dgm:forEach>
  </dgm:layoutNode>
</dgm:layout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1B76F4-C539-441D-9064-E7370B8BB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Application>LibreOffice/6.1.4.2$Windows_X86_64 LibreOffice_project/9d0f32d1f0b509096fd65e0d4bec26ddd1938fd3</Application>
  <Pages>1</Pages>
  <Words>207</Words>
  <Characters>1439</Characters>
  <CharactersWithSpaces>1618</CharactersWithSpaces>
  <Paragraphs>27</Paragraphs>
  <Company>ООО "СВГК"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2020-01-24T12:13:00Z</dcterms:created>
  <dc:creator>Василевская Анастасия Михайловна</dc:creator>
  <dc:description/>
  <dc:language>ru-RU</dc:language>
  <cp:lastModifiedBy>Мальцев Р. Ю.</cp:lastModifiedBy>
  <cp:lastPrinted>2015-06-29T05:14:00Z</cp:lastPrinted>
  <dcterms:modified xsi:type="dcterms:W3CDTF">2020-01-24T12:13:00Z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ООО "СВГК"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